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A103" w14:textId="77777777" w:rsidR="00B36E93" w:rsidRPr="005002FC" w:rsidRDefault="00647067" w:rsidP="00B36E93">
      <w:pPr>
        <w:tabs>
          <w:tab w:val="center" w:pos="0"/>
        </w:tabs>
        <w:rPr>
          <w:rFonts w:ascii="Arial" w:hAnsi="Arial" w:cs="Arial"/>
          <w:color w:val="1D1B11" w:themeColor="background2" w:themeShade="1A"/>
          <w:sz w:val="18"/>
          <w:szCs w:val="18"/>
        </w:rPr>
      </w:pPr>
      <w:r>
        <w:rPr>
          <w:rFonts w:ascii="Arial" w:hAnsi="Arial" w:cs="Arial"/>
          <w:noProof/>
          <w:color w:val="1D1B11" w:themeColor="background2" w:themeShade="1A"/>
          <w:sz w:val="18"/>
          <w:szCs w:val="18"/>
        </w:rPr>
        <w:drawing>
          <wp:inline distT="0" distB="0" distL="0" distR="0" wp14:anchorId="51C651E5" wp14:editId="4040B0E8">
            <wp:extent cx="6157595" cy="1420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7595" cy="1420495"/>
                    </a:xfrm>
                    <a:prstGeom prst="rect">
                      <a:avLst/>
                    </a:prstGeom>
                    <a:noFill/>
                  </pic:spPr>
                </pic:pic>
              </a:graphicData>
            </a:graphic>
          </wp:inline>
        </w:drawing>
      </w:r>
    </w:p>
    <w:p w14:paraId="53E4BB9E" w14:textId="77777777" w:rsidR="00D15D29" w:rsidRPr="005002FC" w:rsidRDefault="00D15D29" w:rsidP="00B36E93">
      <w:pPr>
        <w:tabs>
          <w:tab w:val="center" w:pos="0"/>
        </w:tabs>
        <w:rPr>
          <w:rFonts w:ascii="Arial" w:hAnsi="Arial" w:cs="Arial"/>
          <w:color w:val="1D1B11" w:themeColor="background2" w:themeShade="1A"/>
          <w:sz w:val="18"/>
          <w:szCs w:val="18"/>
        </w:rPr>
      </w:pPr>
    </w:p>
    <w:p w14:paraId="08FE79D6" w14:textId="77777777" w:rsidR="00B36E93" w:rsidRPr="005002FC" w:rsidRDefault="00B36E93" w:rsidP="00B36E93">
      <w:pPr>
        <w:tabs>
          <w:tab w:val="center" w:pos="0"/>
        </w:tabs>
        <w:rPr>
          <w:rFonts w:ascii="Arial" w:hAnsi="Arial" w:cs="Arial"/>
          <w:color w:val="1D1B11" w:themeColor="background2" w:themeShade="1A"/>
          <w:sz w:val="18"/>
          <w:szCs w:val="18"/>
        </w:rPr>
      </w:pPr>
    </w:p>
    <w:p w14:paraId="33A8AD86" w14:textId="2C523FC4" w:rsidR="00647067" w:rsidRDefault="00647067" w:rsidP="00647067">
      <w:pPr>
        <w:widowControl/>
        <w:rPr>
          <w:rFonts w:ascii="Arial" w:hAnsi="Arial" w:cs="Arial"/>
          <w:color w:val="1D1B11"/>
          <w:sz w:val="18"/>
          <w:szCs w:val="18"/>
        </w:rPr>
      </w:pPr>
    </w:p>
    <w:p w14:paraId="6A6515E5" w14:textId="4305EE46" w:rsidR="006474CB" w:rsidRDefault="006474CB" w:rsidP="00647067">
      <w:pPr>
        <w:widowControl/>
        <w:rPr>
          <w:rFonts w:ascii="Arial" w:hAnsi="Arial" w:cs="Arial"/>
          <w:color w:val="1D1B11"/>
          <w:sz w:val="18"/>
          <w:szCs w:val="18"/>
        </w:rPr>
      </w:pPr>
    </w:p>
    <w:p w14:paraId="5592C57A" w14:textId="77777777" w:rsidR="006474CB" w:rsidRPr="005D1FC7" w:rsidRDefault="006474CB" w:rsidP="00647067">
      <w:pPr>
        <w:widowControl/>
        <w:rPr>
          <w:rFonts w:ascii="Arial" w:hAnsi="Arial" w:cs="Arial"/>
          <w:color w:val="1D1B11"/>
          <w:sz w:val="18"/>
          <w:szCs w:val="18"/>
        </w:rPr>
      </w:pPr>
    </w:p>
    <w:p w14:paraId="6915C6EB" w14:textId="77777777" w:rsidR="00F338CF" w:rsidRDefault="00F338CF" w:rsidP="00F338CF">
      <w:pPr>
        <w:widowControl/>
        <w:ind w:firstLine="720"/>
        <w:rPr>
          <w:rFonts w:ascii="Arial" w:hAnsi="Arial" w:cs="Arial"/>
          <w:color w:val="1D1B11"/>
          <w:sz w:val="18"/>
          <w:szCs w:val="18"/>
        </w:rPr>
      </w:pPr>
      <w:r w:rsidRPr="005D1FC7">
        <w:rPr>
          <w:rFonts w:ascii="Arial" w:hAnsi="Arial" w:cs="Arial"/>
          <w:color w:val="1D1B11"/>
          <w:sz w:val="18"/>
          <w:szCs w:val="18"/>
        </w:rPr>
        <w:t>The Public Safety Officers' Benefits Act of 1976, Public Law 94-430 (PSOB), authorizes the Bureau of Justice Assistance (BJA) to prescribe the maximum fee that a representative may charge a claimant for services</w:t>
      </w:r>
      <w:r>
        <w:rPr>
          <w:rFonts w:ascii="Arial" w:hAnsi="Arial" w:cs="Arial"/>
          <w:color w:val="1D1B11"/>
          <w:sz w:val="18"/>
          <w:szCs w:val="18"/>
        </w:rPr>
        <w:t xml:space="preserve"> rendered in connection with any claim before the Bureau.  Contracts for a stipulated fee and contingent fee arrangements are especially prohibited by the PSOB Regulations, 28 C.F.R. 32.7.  In order to receive a fee for your services, you must complete the enclosed petition and email to my attention at </w:t>
      </w:r>
      <w:hyperlink r:id="rId5" w:history="1">
        <w:r>
          <w:rPr>
            <w:rStyle w:val="Hyperlink"/>
            <w:rFonts w:ascii="Arial" w:hAnsi="Arial" w:cs="Arial"/>
            <w:color w:val="1D1B11"/>
            <w:sz w:val="18"/>
            <w:szCs w:val="18"/>
          </w:rPr>
          <w:t>hope.d.janke@usdoj.gov</w:t>
        </w:r>
      </w:hyperlink>
      <w:r>
        <w:rPr>
          <w:rStyle w:val="Hyperlink"/>
          <w:rFonts w:ascii="Arial" w:hAnsi="Arial" w:cs="Arial"/>
          <w:color w:val="1D1B11"/>
          <w:sz w:val="18"/>
          <w:szCs w:val="18"/>
        </w:rPr>
        <w:t>.</w:t>
      </w:r>
    </w:p>
    <w:p w14:paraId="037D0C07" w14:textId="77777777" w:rsidR="00F338CF" w:rsidRDefault="00F338CF" w:rsidP="00F338CF">
      <w:pPr>
        <w:widowControl/>
        <w:rPr>
          <w:rFonts w:ascii="Arial" w:hAnsi="Arial" w:cs="Arial"/>
          <w:color w:val="1D1B11"/>
          <w:sz w:val="18"/>
          <w:szCs w:val="18"/>
        </w:rPr>
      </w:pPr>
    </w:p>
    <w:p w14:paraId="6F43162C" w14:textId="77777777" w:rsidR="00F338CF" w:rsidRDefault="00F338CF" w:rsidP="00F338CF">
      <w:pPr>
        <w:widowControl/>
        <w:ind w:firstLine="720"/>
        <w:rPr>
          <w:rFonts w:ascii="Arial" w:hAnsi="Arial" w:cs="Arial"/>
          <w:color w:val="1D1B11"/>
          <w:sz w:val="18"/>
          <w:szCs w:val="18"/>
        </w:rPr>
      </w:pPr>
      <w:r>
        <w:rPr>
          <w:rFonts w:ascii="Arial" w:hAnsi="Arial" w:cs="Arial"/>
          <w:color w:val="1D1B11"/>
          <w:sz w:val="18"/>
          <w:szCs w:val="18"/>
        </w:rPr>
        <w:t>Please note that we are requesting a detailed itemization of services rendered in connection with the PSOB claim only.  Fee petitions should explain how each charge or expense relates to the PSOB claim.  Failure to provide such specifics will necessitate our returning your petition for such explanations, thus delaying our approval of your fee.</w:t>
      </w:r>
    </w:p>
    <w:p w14:paraId="7BB68793" w14:textId="77777777" w:rsidR="00F338CF" w:rsidRDefault="00F338CF" w:rsidP="00F338CF">
      <w:pPr>
        <w:widowControl/>
        <w:rPr>
          <w:rFonts w:ascii="Arial" w:hAnsi="Arial" w:cs="Arial"/>
          <w:color w:val="1D1B11"/>
          <w:sz w:val="18"/>
          <w:szCs w:val="18"/>
        </w:rPr>
      </w:pPr>
    </w:p>
    <w:p w14:paraId="247BFA54" w14:textId="77777777" w:rsidR="00F338CF" w:rsidRDefault="00F338CF" w:rsidP="00F338CF">
      <w:pPr>
        <w:widowControl/>
        <w:ind w:firstLine="720"/>
        <w:rPr>
          <w:rFonts w:ascii="Arial" w:hAnsi="Arial" w:cs="Arial"/>
          <w:color w:val="1D1B11"/>
          <w:sz w:val="18"/>
          <w:szCs w:val="18"/>
        </w:rPr>
      </w:pPr>
      <w:r>
        <w:rPr>
          <w:rFonts w:ascii="Arial" w:hAnsi="Arial" w:cs="Arial"/>
          <w:color w:val="1D1B11"/>
          <w:sz w:val="18"/>
          <w:szCs w:val="18"/>
        </w:rPr>
        <w:t xml:space="preserve">You must also send a copy of the completed petition to the claimant you represented, and advise the claimant of his or her opportunity to send comment on the petition within 20 days.  We will not make a fee determination until 30 days after the date the petition was sent to the claimant.  </w:t>
      </w:r>
    </w:p>
    <w:p w14:paraId="433F3FF5" w14:textId="77777777" w:rsidR="00F338CF" w:rsidRDefault="00F338CF" w:rsidP="00F338CF">
      <w:pPr>
        <w:widowControl/>
        <w:rPr>
          <w:rFonts w:ascii="Arial" w:hAnsi="Arial" w:cs="Arial"/>
          <w:color w:val="1D1B11"/>
          <w:sz w:val="18"/>
          <w:szCs w:val="18"/>
        </w:rPr>
      </w:pPr>
    </w:p>
    <w:p w14:paraId="6C8572DE" w14:textId="77777777" w:rsidR="00F338CF" w:rsidRDefault="00F338CF" w:rsidP="00F338CF">
      <w:pPr>
        <w:widowControl/>
        <w:ind w:firstLine="720"/>
        <w:rPr>
          <w:rFonts w:ascii="Arial" w:hAnsi="Arial" w:cs="Arial"/>
          <w:color w:val="1D1B11"/>
          <w:sz w:val="18"/>
          <w:szCs w:val="18"/>
        </w:rPr>
      </w:pPr>
      <w:r>
        <w:rPr>
          <w:rFonts w:ascii="Arial" w:hAnsi="Arial" w:cs="Arial"/>
          <w:color w:val="1D1B11"/>
          <w:sz w:val="18"/>
          <w:szCs w:val="18"/>
        </w:rPr>
        <w:t>We will make the determination on the basis of the criteria set forth in Section 32.7 of the PSOB Regulations.  In determining the fee, BJA will consider and add the amount of reasonable and unreimbursed expenses incurred in establishing the claimant's case.</w:t>
      </w:r>
    </w:p>
    <w:p w14:paraId="569498D2" w14:textId="77777777" w:rsidR="00F338CF" w:rsidRDefault="00F338CF" w:rsidP="00F338CF">
      <w:pPr>
        <w:widowControl/>
        <w:rPr>
          <w:rFonts w:ascii="Arial" w:hAnsi="Arial" w:cs="Arial"/>
          <w:color w:val="1D1B11"/>
          <w:sz w:val="18"/>
          <w:szCs w:val="18"/>
        </w:rPr>
      </w:pPr>
    </w:p>
    <w:p w14:paraId="1DB798F7" w14:textId="77777777" w:rsidR="00F338CF" w:rsidRDefault="00F338CF" w:rsidP="00F338CF">
      <w:pPr>
        <w:widowControl/>
        <w:ind w:firstLine="720"/>
        <w:rPr>
          <w:rFonts w:ascii="Arial" w:hAnsi="Arial" w:cs="Arial"/>
          <w:color w:val="1D1B11"/>
          <w:sz w:val="18"/>
          <w:szCs w:val="18"/>
        </w:rPr>
      </w:pPr>
      <w:r>
        <w:rPr>
          <w:rFonts w:ascii="Arial" w:hAnsi="Arial" w:cs="Arial"/>
          <w:color w:val="1D1B11"/>
          <w:sz w:val="18"/>
          <w:szCs w:val="18"/>
        </w:rPr>
        <w:t>Upon making a determination, BJA will notify both you and the claimant of the amount of fee authorized, the basis for the determination, and the fact that the U.S. Department of Justice assumes no responsibility for payment.  You should also be aware that the execution or attachment of any benefit paid under the Act is prohibited.</w:t>
      </w:r>
    </w:p>
    <w:p w14:paraId="27740C0E" w14:textId="77777777" w:rsidR="00F338CF" w:rsidRDefault="00F338CF" w:rsidP="00F338CF">
      <w:pPr>
        <w:widowControl/>
        <w:rPr>
          <w:rFonts w:ascii="Arial" w:hAnsi="Arial" w:cs="Arial"/>
          <w:color w:val="1D1B11"/>
          <w:sz w:val="18"/>
          <w:szCs w:val="18"/>
        </w:rPr>
      </w:pPr>
    </w:p>
    <w:p w14:paraId="29FF4423" w14:textId="77777777" w:rsidR="00F338CF" w:rsidRDefault="00F338CF" w:rsidP="00F338CF">
      <w:pPr>
        <w:widowControl/>
        <w:ind w:firstLine="720"/>
        <w:rPr>
          <w:rFonts w:ascii="Arial" w:hAnsi="Arial" w:cs="Arial"/>
          <w:color w:val="1D1B11"/>
          <w:sz w:val="18"/>
          <w:szCs w:val="18"/>
        </w:rPr>
      </w:pPr>
      <w:r>
        <w:rPr>
          <w:rFonts w:ascii="Arial" w:hAnsi="Arial" w:cs="Arial"/>
          <w:color w:val="1D1B11"/>
          <w:sz w:val="18"/>
          <w:szCs w:val="18"/>
        </w:rPr>
        <w:t>When assistance is provided pro-bono, BJA must be notified in writing that you are not charging a fee for services in connection with this claim.  A copy of this notification must be provided to your client.</w:t>
      </w:r>
    </w:p>
    <w:p w14:paraId="40E5BE65" w14:textId="77777777" w:rsidR="00F338CF" w:rsidRDefault="00F338CF" w:rsidP="00F338CF">
      <w:pPr>
        <w:widowControl/>
        <w:rPr>
          <w:rFonts w:ascii="Arial" w:hAnsi="Arial" w:cs="Arial"/>
          <w:color w:val="1D1B11"/>
          <w:sz w:val="18"/>
          <w:szCs w:val="18"/>
        </w:rPr>
      </w:pPr>
    </w:p>
    <w:p w14:paraId="48C5EDB3" w14:textId="77777777" w:rsidR="00F338CF" w:rsidRDefault="00F338CF" w:rsidP="00F338CF">
      <w:pPr>
        <w:widowControl/>
        <w:ind w:firstLine="720"/>
        <w:rPr>
          <w:rFonts w:ascii="Arial" w:hAnsi="Arial" w:cs="Arial"/>
          <w:color w:val="1D1B11"/>
          <w:sz w:val="18"/>
          <w:szCs w:val="18"/>
        </w:rPr>
      </w:pPr>
      <w:r>
        <w:rPr>
          <w:rFonts w:ascii="Arial" w:hAnsi="Arial" w:cs="Arial"/>
          <w:color w:val="1D1B11"/>
          <w:sz w:val="18"/>
          <w:szCs w:val="18"/>
        </w:rPr>
        <w:t>If further information or assistance is needed, please do not hesitate to call me directly at 202-307-2858 or toll-free at 1-888-744-6513.</w:t>
      </w:r>
    </w:p>
    <w:p w14:paraId="6C3CD107" w14:textId="77777777" w:rsidR="00FB49F5" w:rsidRPr="005002FC" w:rsidRDefault="00FB49F5" w:rsidP="00FB49F5">
      <w:pPr>
        <w:widowControl/>
        <w:ind w:firstLine="720"/>
        <w:rPr>
          <w:rFonts w:ascii="Arial" w:hAnsi="Arial" w:cs="Arial"/>
          <w:color w:val="1D1B11" w:themeColor="background2" w:themeShade="1A"/>
          <w:sz w:val="18"/>
          <w:szCs w:val="18"/>
        </w:rPr>
      </w:pPr>
    </w:p>
    <w:p w14:paraId="742BF40C" w14:textId="77777777" w:rsidR="006B6B67" w:rsidRPr="005002FC" w:rsidRDefault="006B6B67">
      <w:pPr>
        <w:widowControl/>
        <w:ind w:firstLine="9360"/>
        <w:rPr>
          <w:rFonts w:ascii="Arial" w:hAnsi="Arial" w:cs="Arial"/>
          <w:color w:val="1D1B11" w:themeColor="background2" w:themeShade="1A"/>
          <w:sz w:val="18"/>
          <w:szCs w:val="18"/>
        </w:rPr>
      </w:pPr>
    </w:p>
    <w:p w14:paraId="553E6FF6" w14:textId="77777777" w:rsidR="007E3826" w:rsidRPr="005002FC" w:rsidRDefault="007E3826" w:rsidP="00C57784">
      <w:pPr>
        <w:ind w:left="720" w:firstLine="4320"/>
        <w:rPr>
          <w:rFonts w:ascii="Arial" w:hAnsi="Arial" w:cs="Arial"/>
          <w:color w:val="1D1B11" w:themeColor="background2" w:themeShade="1A"/>
          <w:sz w:val="18"/>
          <w:szCs w:val="18"/>
        </w:rPr>
      </w:pPr>
      <w:r w:rsidRPr="005002FC">
        <w:rPr>
          <w:rFonts w:ascii="Arial" w:hAnsi="Arial" w:cs="Arial"/>
          <w:color w:val="1D1B11" w:themeColor="background2" w:themeShade="1A"/>
          <w:sz w:val="18"/>
          <w:szCs w:val="18"/>
        </w:rPr>
        <w:t>Sincerely,</w:t>
      </w:r>
    </w:p>
    <w:p w14:paraId="575A1718" w14:textId="77777777" w:rsidR="007E3826" w:rsidRPr="005002FC" w:rsidRDefault="007E3826" w:rsidP="007E3826">
      <w:pPr>
        <w:rPr>
          <w:rFonts w:ascii="Arial" w:hAnsi="Arial" w:cs="Arial"/>
          <w:color w:val="1D1B11" w:themeColor="background2" w:themeShade="1A"/>
          <w:sz w:val="18"/>
          <w:szCs w:val="18"/>
        </w:rPr>
      </w:pPr>
    </w:p>
    <w:p w14:paraId="3634CEAF" w14:textId="77777777" w:rsidR="007E3826" w:rsidRPr="005002FC" w:rsidRDefault="007E3826" w:rsidP="007E3826">
      <w:pPr>
        <w:rPr>
          <w:rFonts w:ascii="Arial" w:hAnsi="Arial" w:cs="Arial"/>
          <w:color w:val="1D1B11" w:themeColor="background2" w:themeShade="1A"/>
          <w:sz w:val="18"/>
          <w:szCs w:val="18"/>
        </w:rPr>
      </w:pPr>
    </w:p>
    <w:p w14:paraId="22E9D6AF" w14:textId="77777777" w:rsidR="007E3826" w:rsidRPr="005002FC" w:rsidRDefault="007E3826" w:rsidP="00C57784">
      <w:pPr>
        <w:ind w:left="720" w:firstLine="4320"/>
        <w:rPr>
          <w:rFonts w:ascii="Arial" w:hAnsi="Arial" w:cs="Arial"/>
          <w:color w:val="1D1B11" w:themeColor="background2" w:themeShade="1A"/>
          <w:sz w:val="18"/>
          <w:szCs w:val="18"/>
        </w:rPr>
      </w:pPr>
      <w:r w:rsidRPr="005002FC">
        <w:rPr>
          <w:rFonts w:ascii="Arial" w:hAnsi="Arial" w:cs="Arial"/>
          <w:color w:val="1D1B11" w:themeColor="background2" w:themeShade="1A"/>
          <w:sz w:val="18"/>
          <w:szCs w:val="18"/>
        </w:rPr>
        <w:t>Hope D. Janke</w:t>
      </w:r>
    </w:p>
    <w:p w14:paraId="7FDDB982" w14:textId="77777777" w:rsidR="007E3826" w:rsidRPr="005002FC" w:rsidRDefault="007E3826" w:rsidP="00C57784">
      <w:pPr>
        <w:ind w:left="720" w:firstLine="4320"/>
        <w:rPr>
          <w:rFonts w:ascii="Arial" w:hAnsi="Arial" w:cs="Arial"/>
          <w:color w:val="1D1B11" w:themeColor="background2" w:themeShade="1A"/>
          <w:sz w:val="18"/>
          <w:szCs w:val="18"/>
        </w:rPr>
      </w:pPr>
      <w:r w:rsidRPr="005002FC">
        <w:rPr>
          <w:rFonts w:ascii="Arial" w:hAnsi="Arial" w:cs="Arial"/>
          <w:color w:val="1D1B11" w:themeColor="background2" w:themeShade="1A"/>
          <w:sz w:val="18"/>
          <w:szCs w:val="18"/>
        </w:rPr>
        <w:t>Director</w:t>
      </w:r>
    </w:p>
    <w:p w14:paraId="7822AA6E" w14:textId="77777777" w:rsidR="007E3826" w:rsidRPr="005002FC" w:rsidRDefault="007E3826" w:rsidP="00C57784">
      <w:pPr>
        <w:ind w:left="720" w:firstLine="4320"/>
        <w:rPr>
          <w:rFonts w:ascii="Arial" w:hAnsi="Arial" w:cs="Arial"/>
          <w:color w:val="1D1B11" w:themeColor="background2" w:themeShade="1A"/>
          <w:sz w:val="18"/>
          <w:szCs w:val="18"/>
        </w:rPr>
      </w:pPr>
      <w:r w:rsidRPr="005002FC">
        <w:rPr>
          <w:rFonts w:ascii="Arial" w:hAnsi="Arial" w:cs="Arial"/>
          <w:color w:val="1D1B11" w:themeColor="background2" w:themeShade="1A"/>
          <w:sz w:val="18"/>
          <w:szCs w:val="18"/>
        </w:rPr>
        <w:t>Public Safety Officers</w:t>
      </w:r>
      <w:r w:rsidR="00C57784" w:rsidRPr="005002FC">
        <w:rPr>
          <w:rFonts w:ascii="Arial" w:hAnsi="Arial" w:cs="Arial"/>
          <w:color w:val="1D1B11" w:themeColor="background2" w:themeShade="1A"/>
          <w:sz w:val="18"/>
          <w:szCs w:val="18"/>
        </w:rPr>
        <w:t>’</w:t>
      </w:r>
      <w:r w:rsidRPr="005002FC">
        <w:rPr>
          <w:rFonts w:ascii="Arial" w:hAnsi="Arial" w:cs="Arial"/>
          <w:color w:val="1D1B11" w:themeColor="background2" w:themeShade="1A"/>
          <w:sz w:val="18"/>
          <w:szCs w:val="18"/>
        </w:rPr>
        <w:t xml:space="preserve"> Benefits Office</w:t>
      </w:r>
    </w:p>
    <w:p w14:paraId="64F1480D" w14:textId="77777777" w:rsidR="007E3826" w:rsidRPr="005002FC" w:rsidRDefault="007E3826">
      <w:pPr>
        <w:widowControl/>
        <w:ind w:left="-90"/>
        <w:rPr>
          <w:rFonts w:ascii="Arial" w:hAnsi="Arial" w:cs="Arial"/>
          <w:color w:val="1D1B11" w:themeColor="background2" w:themeShade="1A"/>
          <w:sz w:val="18"/>
          <w:szCs w:val="18"/>
        </w:rPr>
      </w:pPr>
      <w:r w:rsidRPr="005002FC">
        <w:rPr>
          <w:rFonts w:ascii="Arial" w:hAnsi="Arial" w:cs="Arial"/>
          <w:color w:val="1D1B11" w:themeColor="background2" w:themeShade="1A"/>
          <w:sz w:val="18"/>
          <w:szCs w:val="18"/>
        </w:rPr>
        <w:t>E</w:t>
      </w:r>
      <w:r w:rsidR="006B6B67" w:rsidRPr="005002FC">
        <w:rPr>
          <w:rFonts w:ascii="Arial" w:hAnsi="Arial" w:cs="Arial"/>
          <w:color w:val="1D1B11" w:themeColor="background2" w:themeShade="1A"/>
          <w:sz w:val="18"/>
          <w:szCs w:val="18"/>
        </w:rPr>
        <w:t>nclosure</w:t>
      </w:r>
    </w:p>
    <w:p w14:paraId="176611F0" w14:textId="77777777" w:rsidR="007E3826" w:rsidRPr="005002FC" w:rsidRDefault="007E3826">
      <w:pPr>
        <w:widowControl/>
        <w:ind w:left="-90"/>
        <w:rPr>
          <w:rFonts w:ascii="Arial" w:hAnsi="Arial" w:cs="Arial"/>
          <w:color w:val="1D1B11" w:themeColor="background2" w:themeShade="1A"/>
          <w:sz w:val="18"/>
          <w:szCs w:val="18"/>
        </w:rPr>
      </w:pPr>
    </w:p>
    <w:p w14:paraId="280A263D" w14:textId="55BC89B8" w:rsidR="006474CB" w:rsidRDefault="00801EBF" w:rsidP="006474CB">
      <w:pPr>
        <w:widowControl/>
        <w:tabs>
          <w:tab w:val="left" w:pos="540"/>
        </w:tabs>
        <w:ind w:left="-90"/>
        <w:rPr>
          <w:rFonts w:ascii="Arial" w:hAnsi="Arial" w:cs="Arial"/>
          <w:sz w:val="18"/>
          <w:szCs w:val="18"/>
        </w:rPr>
      </w:pPr>
      <w:r>
        <w:rPr>
          <w:rFonts w:ascii="Arial" w:hAnsi="Arial" w:cs="Arial"/>
          <w:sz w:val="18"/>
          <w:szCs w:val="18"/>
        </w:rPr>
        <w:tab/>
      </w:r>
    </w:p>
    <w:p w14:paraId="41CAD74A" w14:textId="7AAEAF2F" w:rsidR="002953C6" w:rsidRDefault="002953C6" w:rsidP="00801EBF">
      <w:pPr>
        <w:widowControl/>
        <w:tabs>
          <w:tab w:val="left" w:pos="540"/>
        </w:tabs>
        <w:ind w:left="-90" w:firstLine="630"/>
        <w:rPr>
          <w:rFonts w:ascii="Arial" w:hAnsi="Arial" w:cs="Arial"/>
          <w:sz w:val="18"/>
          <w:szCs w:val="18"/>
        </w:rPr>
      </w:pPr>
    </w:p>
    <w:p w14:paraId="7822B128" w14:textId="77777777" w:rsidR="00801EBF" w:rsidRPr="00C57784" w:rsidRDefault="00801EBF" w:rsidP="00801EBF">
      <w:pPr>
        <w:widowControl/>
        <w:tabs>
          <w:tab w:val="left" w:pos="540"/>
        </w:tabs>
        <w:ind w:left="-90" w:firstLine="630"/>
        <w:rPr>
          <w:rFonts w:ascii="Arial" w:hAnsi="Arial" w:cs="Arial"/>
          <w:sz w:val="18"/>
          <w:szCs w:val="18"/>
        </w:rPr>
      </w:pPr>
    </w:p>
    <w:p w14:paraId="1DB20714" w14:textId="77777777" w:rsidR="006B6B67" w:rsidRPr="005002FC" w:rsidRDefault="006B6B67" w:rsidP="002953C6">
      <w:pPr>
        <w:widowControl/>
        <w:ind w:left="-90"/>
        <w:rPr>
          <w:rFonts w:ascii="Arial" w:hAnsi="Arial" w:cs="Arial"/>
          <w:color w:val="1D1B11" w:themeColor="background2" w:themeShade="1A"/>
          <w:sz w:val="18"/>
          <w:szCs w:val="18"/>
        </w:rPr>
      </w:pPr>
    </w:p>
    <w:sectPr w:rsidR="006B6B67" w:rsidRPr="005002FC" w:rsidSect="00647067">
      <w:pgSz w:w="12240" w:h="15840"/>
      <w:pgMar w:top="72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67"/>
    <w:rsid w:val="000269AD"/>
    <w:rsid w:val="001D329B"/>
    <w:rsid w:val="00206FB2"/>
    <w:rsid w:val="00237DFB"/>
    <w:rsid w:val="002953C6"/>
    <w:rsid w:val="002B4B41"/>
    <w:rsid w:val="00385DA7"/>
    <w:rsid w:val="00461BF5"/>
    <w:rsid w:val="004C224D"/>
    <w:rsid w:val="004D6D7C"/>
    <w:rsid w:val="005002FC"/>
    <w:rsid w:val="005964EB"/>
    <w:rsid w:val="005B3B20"/>
    <w:rsid w:val="005D1FC7"/>
    <w:rsid w:val="005D4C82"/>
    <w:rsid w:val="005D7C2D"/>
    <w:rsid w:val="005E7FE2"/>
    <w:rsid w:val="00647067"/>
    <w:rsid w:val="006474CB"/>
    <w:rsid w:val="006B6B67"/>
    <w:rsid w:val="00703BCE"/>
    <w:rsid w:val="007C5AC1"/>
    <w:rsid w:val="007C5DD5"/>
    <w:rsid w:val="007E3826"/>
    <w:rsid w:val="007E48F9"/>
    <w:rsid w:val="00801EBF"/>
    <w:rsid w:val="00830D09"/>
    <w:rsid w:val="00855C39"/>
    <w:rsid w:val="00871E7D"/>
    <w:rsid w:val="0089355F"/>
    <w:rsid w:val="00912E79"/>
    <w:rsid w:val="009625FD"/>
    <w:rsid w:val="00A44B23"/>
    <w:rsid w:val="00B36E93"/>
    <w:rsid w:val="00C002AA"/>
    <w:rsid w:val="00C57784"/>
    <w:rsid w:val="00C67DD9"/>
    <w:rsid w:val="00CA5C11"/>
    <w:rsid w:val="00D12387"/>
    <w:rsid w:val="00D15D29"/>
    <w:rsid w:val="00DA666D"/>
    <w:rsid w:val="00E30A4E"/>
    <w:rsid w:val="00E55AC0"/>
    <w:rsid w:val="00E720E4"/>
    <w:rsid w:val="00F338CF"/>
    <w:rsid w:val="00FA6179"/>
    <w:rsid w:val="00FB49F5"/>
    <w:rsid w:val="00FF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26DC"/>
  <w15:docId w15:val="{3B7386B6-26EF-4CB5-9757-5C678A85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2A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002AA"/>
  </w:style>
  <w:style w:type="paragraph" w:styleId="BalloonText">
    <w:name w:val="Balloon Text"/>
    <w:basedOn w:val="Normal"/>
    <w:semiHidden/>
    <w:rsid w:val="00206FB2"/>
    <w:rPr>
      <w:rFonts w:ascii="Tahoma" w:hAnsi="Tahoma" w:cs="Tahoma"/>
      <w:sz w:val="16"/>
      <w:szCs w:val="16"/>
    </w:rPr>
  </w:style>
  <w:style w:type="character" w:styleId="Hyperlink">
    <w:name w:val="Hyperlink"/>
    <w:basedOn w:val="DefaultParagraphFont"/>
    <w:rsid w:val="00FB49F5"/>
    <w:rPr>
      <w:color w:val="0000FF" w:themeColor="hyperlink"/>
      <w:u w:val="single"/>
    </w:rPr>
  </w:style>
  <w:style w:type="character" w:styleId="UnresolvedMention">
    <w:name w:val="Unresolved Mention"/>
    <w:basedOn w:val="DefaultParagraphFont"/>
    <w:uiPriority w:val="99"/>
    <w:semiHidden/>
    <w:unhideWhenUsed/>
    <w:rsid w:val="0087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77791">
      <w:bodyDiv w:val="1"/>
      <w:marLeft w:val="0"/>
      <w:marRight w:val="0"/>
      <w:marTop w:val="0"/>
      <w:marBottom w:val="0"/>
      <w:divBdr>
        <w:top w:val="none" w:sz="0" w:space="0" w:color="auto"/>
        <w:left w:val="none" w:sz="0" w:space="0" w:color="auto"/>
        <w:bottom w:val="none" w:sz="0" w:space="0" w:color="auto"/>
        <w:right w:val="none" w:sz="0" w:space="0" w:color="auto"/>
      </w:divBdr>
    </w:div>
    <w:div w:id="1843737261">
      <w:bodyDiv w:val="1"/>
      <w:marLeft w:val="0"/>
      <w:marRight w:val="0"/>
      <w:marTop w:val="0"/>
      <w:marBottom w:val="0"/>
      <w:divBdr>
        <w:top w:val="none" w:sz="0" w:space="0" w:color="auto"/>
        <w:left w:val="none" w:sz="0" w:space="0" w:color="auto"/>
        <w:bottom w:val="none" w:sz="0" w:space="0" w:color="auto"/>
        <w:right w:val="none" w:sz="0" w:space="0" w:color="auto"/>
      </w:divBdr>
    </w:div>
    <w:div w:id="20425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pe.d.janke@usdoj.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Dear</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hinnantv</dc:creator>
  <cp:keywords/>
  <dc:description/>
  <cp:lastModifiedBy>Janke, Hope D.</cp:lastModifiedBy>
  <cp:revision>3</cp:revision>
  <cp:lastPrinted>2023-02-01T17:43:00Z</cp:lastPrinted>
  <dcterms:created xsi:type="dcterms:W3CDTF">2023-02-09T19:48:00Z</dcterms:created>
  <dcterms:modified xsi:type="dcterms:W3CDTF">2023-02-09T19:49:00Z</dcterms:modified>
</cp:coreProperties>
</file>