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BC7E7C" w14:textId="76DB38CA" w:rsidR="00003745" w:rsidRDefault="00003745" w:rsidP="001A2AD9">
      <w:pPr>
        <w:pStyle w:val="Title"/>
      </w:pPr>
      <w:bookmarkStart w:id="0" w:name="_GoBack"/>
      <w:bookmarkEnd w:id="0"/>
      <w:r>
        <w:t>Global Reference Architecture (GRA)</w:t>
      </w:r>
    </w:p>
    <w:p w14:paraId="713F569A" w14:textId="77777777" w:rsidR="008265E7" w:rsidRDefault="00E536E5" w:rsidP="001A2AD9">
      <w:pPr>
        <w:pStyle w:val="Title"/>
      </w:pPr>
      <w:r>
        <w:t xml:space="preserve">Service </w:t>
      </w:r>
      <w:r w:rsidR="008D645E">
        <w:t xml:space="preserve">Interaction </w:t>
      </w:r>
      <w:r w:rsidR="008265E7">
        <w:t>Process</w:t>
      </w:r>
    </w:p>
    <w:p w14:paraId="0AC779B3" w14:textId="25EA5239" w:rsidR="00835E04" w:rsidRPr="0051195D" w:rsidRDefault="00E536E5" w:rsidP="001A2AD9">
      <w:pPr>
        <w:pStyle w:val="Title"/>
      </w:pPr>
      <w:r>
        <w:t>Modeling</w:t>
      </w:r>
      <w:r w:rsidR="00AF5A36">
        <w:t xml:space="preserve"> Profile</w:t>
      </w:r>
    </w:p>
    <w:p w14:paraId="18A235CE" w14:textId="5E5C8516" w:rsidR="00EA1836" w:rsidRDefault="00E536E5" w:rsidP="00EA1836">
      <w:pPr>
        <w:pStyle w:val="Heading1"/>
      </w:pPr>
      <w:bookmarkStart w:id="1" w:name="_Toc339380649"/>
      <w:r>
        <w:t>S</w:t>
      </w:r>
      <w:r w:rsidR="00EA1836">
        <w:t xml:space="preserve">ervice </w:t>
      </w:r>
      <w:r w:rsidR="008D645E">
        <w:t xml:space="preserve">Interaction </w:t>
      </w:r>
      <w:r w:rsidR="00EA1836">
        <w:t>Process Model</w:t>
      </w:r>
      <w:bookmarkEnd w:id="1"/>
      <w:r w:rsidR="00260F17">
        <w:t>s</w:t>
      </w:r>
    </w:p>
    <w:p w14:paraId="13D0BE82" w14:textId="77777777" w:rsidR="00EA1836" w:rsidRPr="00E24B78" w:rsidRDefault="00EA1836" w:rsidP="00E24B78">
      <w:pPr>
        <w:jc w:val="both"/>
        <w:rPr>
          <w:rFonts w:ascii="Souvenir Lt BT" w:hAnsi="Souvenir Lt BT"/>
          <w:sz w:val="24"/>
          <w:szCs w:val="24"/>
        </w:rPr>
      </w:pPr>
    </w:p>
    <w:p w14:paraId="7EEBE60E" w14:textId="3346AE1D" w:rsidR="007638C2" w:rsidRPr="00E24B78" w:rsidRDefault="00EA1836" w:rsidP="00E24B78">
      <w:pPr>
        <w:jc w:val="both"/>
        <w:rPr>
          <w:rFonts w:ascii="Souvenir Lt BT" w:hAnsi="Souvenir Lt BT"/>
          <w:sz w:val="24"/>
          <w:szCs w:val="24"/>
        </w:rPr>
      </w:pPr>
      <w:r w:rsidRPr="00E24B78">
        <w:rPr>
          <w:rFonts w:ascii="Souvenir Lt BT" w:hAnsi="Souvenir Lt BT"/>
          <w:sz w:val="24"/>
          <w:szCs w:val="24"/>
        </w:rPr>
        <w:t xml:space="preserve">The following Business Process Modeling Notation (BPMN) diagrams illustrate the </w:t>
      </w:r>
      <w:r w:rsidR="008D645E" w:rsidRPr="00E24B78">
        <w:rPr>
          <w:rFonts w:ascii="Souvenir Lt BT" w:hAnsi="Souvenir Lt BT"/>
          <w:sz w:val="24"/>
          <w:szCs w:val="24"/>
        </w:rPr>
        <w:t xml:space="preserve">Service Interaction Process </w:t>
      </w:r>
      <w:r w:rsidRPr="00E24B78">
        <w:rPr>
          <w:rFonts w:ascii="Souvenir Lt BT" w:hAnsi="Souvenir Lt BT"/>
          <w:sz w:val="24"/>
          <w:szCs w:val="24"/>
        </w:rPr>
        <w:t>Model</w:t>
      </w:r>
      <w:r w:rsidR="00DF3DF0" w:rsidRPr="00E24B78">
        <w:rPr>
          <w:rFonts w:ascii="Souvenir Lt BT" w:hAnsi="Souvenir Lt BT"/>
          <w:sz w:val="24"/>
          <w:szCs w:val="24"/>
        </w:rPr>
        <w:t xml:space="preserve"> Profile</w:t>
      </w:r>
      <w:r w:rsidR="00260F17" w:rsidRPr="00E24B78">
        <w:rPr>
          <w:rFonts w:ascii="Souvenir Lt BT" w:hAnsi="Souvenir Lt BT"/>
          <w:sz w:val="24"/>
          <w:szCs w:val="24"/>
        </w:rPr>
        <w:t xml:space="preserve"> for </w:t>
      </w:r>
      <w:r w:rsidR="00DF3DF0" w:rsidRPr="00E24B78">
        <w:rPr>
          <w:rFonts w:ascii="Souvenir Lt BT" w:hAnsi="Souvenir Lt BT"/>
          <w:sz w:val="24"/>
          <w:szCs w:val="24"/>
        </w:rPr>
        <w:t xml:space="preserve">modeling </w:t>
      </w:r>
      <w:r w:rsidR="00260F17" w:rsidRPr="00E24B78">
        <w:rPr>
          <w:rFonts w:ascii="Souvenir Lt BT" w:hAnsi="Souvenir Lt BT"/>
          <w:i/>
          <w:sz w:val="24"/>
          <w:szCs w:val="24"/>
        </w:rPr>
        <w:t xml:space="preserve">the </w:t>
      </w:r>
      <w:r w:rsidR="004C40AC" w:rsidRPr="00E24B78">
        <w:rPr>
          <w:rFonts w:ascii="Souvenir Lt BT" w:hAnsi="Souvenir Lt BT"/>
          <w:i/>
          <w:sz w:val="24"/>
          <w:szCs w:val="24"/>
        </w:rPr>
        <w:t>Event-Driven</w:t>
      </w:r>
      <w:r w:rsidR="00260F17" w:rsidRPr="00E24B78">
        <w:rPr>
          <w:rFonts w:ascii="Souvenir Lt BT" w:hAnsi="Souvenir Lt BT"/>
          <w:sz w:val="24"/>
          <w:szCs w:val="24"/>
        </w:rPr>
        <w:t xml:space="preserve">, </w:t>
      </w:r>
      <w:r w:rsidR="00260F17" w:rsidRPr="00E24B78">
        <w:rPr>
          <w:rFonts w:ascii="Souvenir Lt BT" w:hAnsi="Souvenir Lt BT"/>
          <w:i/>
          <w:sz w:val="24"/>
          <w:szCs w:val="24"/>
        </w:rPr>
        <w:t>Request-</w:t>
      </w:r>
      <w:r w:rsidR="004C40AC" w:rsidRPr="00E24B78">
        <w:rPr>
          <w:rFonts w:ascii="Souvenir Lt BT" w:hAnsi="Souvenir Lt BT"/>
          <w:i/>
          <w:sz w:val="24"/>
          <w:szCs w:val="24"/>
        </w:rPr>
        <w:t>Response</w:t>
      </w:r>
      <w:r w:rsidR="00260F17" w:rsidRPr="00E24B78">
        <w:rPr>
          <w:rFonts w:ascii="Souvenir Lt BT" w:hAnsi="Souvenir Lt BT"/>
          <w:sz w:val="24"/>
          <w:szCs w:val="24"/>
        </w:rPr>
        <w:t xml:space="preserve"> a</w:t>
      </w:r>
      <w:r w:rsidR="00DF3DF0" w:rsidRPr="00E24B78">
        <w:rPr>
          <w:rFonts w:ascii="Souvenir Lt BT" w:hAnsi="Souvenir Lt BT"/>
          <w:sz w:val="24"/>
          <w:szCs w:val="24"/>
        </w:rPr>
        <w:t xml:space="preserve">nd </w:t>
      </w:r>
      <w:r w:rsidR="00DF3DF0" w:rsidRPr="00E24B78">
        <w:rPr>
          <w:rFonts w:ascii="Souvenir Lt BT" w:hAnsi="Souvenir Lt BT"/>
          <w:i/>
          <w:sz w:val="24"/>
          <w:szCs w:val="24"/>
        </w:rPr>
        <w:t>Query-</w:t>
      </w:r>
      <w:r w:rsidR="004C40AC" w:rsidRPr="00E24B78">
        <w:rPr>
          <w:rFonts w:ascii="Souvenir Lt BT" w:hAnsi="Souvenir Lt BT"/>
          <w:i/>
          <w:sz w:val="24"/>
          <w:szCs w:val="24"/>
        </w:rPr>
        <w:t>Response</w:t>
      </w:r>
      <w:r w:rsidR="00DF3DF0" w:rsidRPr="00E24B78">
        <w:rPr>
          <w:rFonts w:ascii="Souvenir Lt BT" w:hAnsi="Souvenir Lt BT"/>
          <w:sz w:val="24"/>
          <w:szCs w:val="24"/>
        </w:rPr>
        <w:t xml:space="preserve"> service flow</w:t>
      </w:r>
      <w:r w:rsidR="00260F17" w:rsidRPr="00E24B78">
        <w:rPr>
          <w:rFonts w:ascii="Souvenir Lt BT" w:hAnsi="Souvenir Lt BT"/>
          <w:sz w:val="24"/>
          <w:szCs w:val="24"/>
        </w:rPr>
        <w:t xml:space="preserve"> Archetypes.</w:t>
      </w:r>
      <w:r w:rsidR="005715A9" w:rsidRPr="00E24B78">
        <w:rPr>
          <w:rFonts w:ascii="Souvenir Lt BT" w:hAnsi="Souvenir Lt BT"/>
          <w:sz w:val="24"/>
          <w:szCs w:val="24"/>
        </w:rPr>
        <w:t xml:space="preserve">  Each of the three (3) models provided in this document can be used as a template for any </w:t>
      </w:r>
      <w:r w:rsidR="008265E7" w:rsidRPr="00E24B78">
        <w:rPr>
          <w:rFonts w:ascii="Souvenir Lt BT" w:hAnsi="Souvenir Lt BT"/>
          <w:sz w:val="24"/>
          <w:szCs w:val="24"/>
        </w:rPr>
        <w:t>service i</w:t>
      </w:r>
      <w:r w:rsidR="008D645E" w:rsidRPr="00E24B78">
        <w:rPr>
          <w:rFonts w:ascii="Souvenir Lt BT" w:hAnsi="Souvenir Lt BT"/>
          <w:sz w:val="24"/>
          <w:szCs w:val="24"/>
        </w:rPr>
        <w:t xml:space="preserve">nteraction </w:t>
      </w:r>
      <w:r w:rsidR="008265E7" w:rsidRPr="00E24B78">
        <w:rPr>
          <w:rFonts w:ascii="Souvenir Lt BT" w:hAnsi="Souvenir Lt BT"/>
          <w:sz w:val="24"/>
          <w:szCs w:val="24"/>
        </w:rPr>
        <w:t xml:space="preserve">process </w:t>
      </w:r>
      <w:r w:rsidR="00E1304E" w:rsidRPr="00E24B78">
        <w:rPr>
          <w:rFonts w:ascii="Souvenir Lt BT" w:hAnsi="Souvenir Lt BT"/>
          <w:sz w:val="24"/>
          <w:szCs w:val="24"/>
        </w:rPr>
        <w:t>model</w:t>
      </w:r>
      <w:r w:rsidR="005715A9" w:rsidRPr="00E24B78">
        <w:rPr>
          <w:rFonts w:ascii="Souvenir Lt BT" w:hAnsi="Souvenir Lt BT"/>
          <w:sz w:val="24"/>
          <w:szCs w:val="24"/>
        </w:rPr>
        <w:t>.</w:t>
      </w:r>
    </w:p>
    <w:p w14:paraId="468B539C" w14:textId="77777777" w:rsidR="005924A3" w:rsidRPr="00E24B78" w:rsidRDefault="005924A3" w:rsidP="00E24B78">
      <w:pPr>
        <w:jc w:val="both"/>
        <w:rPr>
          <w:rFonts w:ascii="Souvenir Lt BT" w:hAnsi="Souvenir Lt BT"/>
          <w:sz w:val="24"/>
          <w:szCs w:val="24"/>
        </w:rPr>
      </w:pPr>
    </w:p>
    <w:p w14:paraId="6A135B5D" w14:textId="68819F29" w:rsidR="005924A3" w:rsidRPr="00E24B78" w:rsidRDefault="00EF3DCB" w:rsidP="00E24B78">
      <w:pPr>
        <w:jc w:val="both"/>
        <w:rPr>
          <w:rFonts w:ascii="Souvenir Lt BT" w:hAnsi="Souvenir Lt BT"/>
          <w:sz w:val="24"/>
          <w:szCs w:val="24"/>
        </w:rPr>
      </w:pPr>
      <w:r w:rsidRPr="00E24B78">
        <w:rPr>
          <w:rFonts w:ascii="Souvenir Lt BT" w:hAnsi="Souvenir Lt BT"/>
          <w:sz w:val="24"/>
          <w:szCs w:val="24"/>
        </w:rPr>
        <w:t xml:space="preserve">The use of the </w:t>
      </w:r>
      <w:r w:rsidR="008D645E" w:rsidRPr="00E24B78">
        <w:rPr>
          <w:rFonts w:ascii="Souvenir Lt BT" w:hAnsi="Souvenir Lt BT"/>
          <w:sz w:val="24"/>
          <w:szCs w:val="24"/>
        </w:rPr>
        <w:t xml:space="preserve">Service Interaction Process </w:t>
      </w:r>
      <w:r w:rsidRPr="00E24B78">
        <w:rPr>
          <w:rFonts w:ascii="Souvenir Lt BT" w:hAnsi="Souvenir Lt BT"/>
          <w:sz w:val="24"/>
          <w:szCs w:val="24"/>
        </w:rPr>
        <w:t>Modeling Profile promotes service design standardization, simplifies the overall design process, simplifies and reduces the time to develop Service Specification Packages (SSPs)</w:t>
      </w:r>
      <w:r w:rsidR="00B82846">
        <w:rPr>
          <w:rFonts w:ascii="Souvenir Lt BT" w:hAnsi="Souvenir Lt BT"/>
          <w:sz w:val="24"/>
          <w:szCs w:val="24"/>
        </w:rPr>
        <w:t>,</w:t>
      </w:r>
      <w:r w:rsidRPr="00E24B78">
        <w:rPr>
          <w:rFonts w:ascii="Souvenir Lt BT" w:hAnsi="Souvenir Lt BT"/>
          <w:sz w:val="24"/>
          <w:szCs w:val="24"/>
        </w:rPr>
        <w:t xml:space="preserve"> and assists in following the GRA Service Design Principles</w:t>
      </w:r>
      <w:r w:rsidR="00421DC3" w:rsidRPr="00E24B78">
        <w:rPr>
          <w:rFonts w:ascii="Souvenir Lt BT" w:hAnsi="Souvenir Lt BT"/>
          <w:sz w:val="24"/>
          <w:szCs w:val="24"/>
        </w:rPr>
        <w:t xml:space="preserve"> outlined in the </w:t>
      </w:r>
      <w:r w:rsidR="00421DC3" w:rsidRPr="00E24B78">
        <w:rPr>
          <w:rFonts w:ascii="Souvenir Lt BT" w:hAnsi="Souvenir Lt BT"/>
          <w:i/>
          <w:sz w:val="24"/>
          <w:szCs w:val="24"/>
        </w:rPr>
        <w:t>Global Reference Architecture (GRA) Guidelines for Identifying and Designing</w:t>
      </w:r>
      <w:r w:rsidR="00E62050" w:rsidRPr="00E24B78">
        <w:rPr>
          <w:rFonts w:ascii="Souvenir Lt BT" w:hAnsi="Souvenir Lt BT"/>
          <w:i/>
          <w:sz w:val="24"/>
          <w:szCs w:val="24"/>
        </w:rPr>
        <w:t xml:space="preserve"> Service Version 1.1</w:t>
      </w:r>
      <w:r w:rsidR="00E24B78">
        <w:rPr>
          <w:rFonts w:ascii="Souvenir Lt BT" w:hAnsi="Souvenir Lt BT"/>
          <w:sz w:val="24"/>
          <w:szCs w:val="24"/>
        </w:rPr>
        <w:t>.</w:t>
      </w:r>
      <w:r w:rsidR="00E62050" w:rsidRPr="00E24B78">
        <w:rPr>
          <w:rStyle w:val="FootnoteReference"/>
          <w:rFonts w:ascii="Souvenir Lt BT" w:hAnsi="Souvenir Lt BT"/>
          <w:sz w:val="24"/>
          <w:szCs w:val="24"/>
        </w:rPr>
        <w:footnoteReference w:id="1"/>
      </w:r>
    </w:p>
    <w:p w14:paraId="027D0338" w14:textId="77777777" w:rsidR="000376FE" w:rsidRPr="00E24B78" w:rsidRDefault="000376FE" w:rsidP="00E24B78">
      <w:pPr>
        <w:jc w:val="both"/>
        <w:rPr>
          <w:rFonts w:ascii="Souvenir Lt BT" w:hAnsi="Souvenir Lt BT"/>
          <w:sz w:val="24"/>
          <w:szCs w:val="24"/>
        </w:rPr>
      </w:pPr>
    </w:p>
    <w:p w14:paraId="10F12B00" w14:textId="39925172" w:rsidR="000376FE" w:rsidRPr="00E24B78" w:rsidRDefault="000376FE" w:rsidP="00E24B78">
      <w:pPr>
        <w:jc w:val="both"/>
        <w:rPr>
          <w:rFonts w:ascii="Souvenir Lt BT" w:hAnsi="Souvenir Lt BT"/>
          <w:sz w:val="24"/>
          <w:szCs w:val="24"/>
        </w:rPr>
      </w:pPr>
    </w:p>
    <w:p w14:paraId="1636939B" w14:textId="77777777" w:rsidR="00260F17" w:rsidRDefault="00260F17" w:rsidP="007638C2"/>
    <w:p w14:paraId="33ADE73E" w14:textId="77777777" w:rsidR="00EF3DCB" w:rsidRDefault="00EF3DCB">
      <w:pPr>
        <w:spacing w:after="200" w:line="276" w:lineRule="auto"/>
      </w:pPr>
      <w:r>
        <w:br w:type="page"/>
      </w:r>
    </w:p>
    <w:p w14:paraId="3783D523" w14:textId="3D4B641F" w:rsidR="00260F17" w:rsidRPr="00E24B78" w:rsidRDefault="00DF3DF0" w:rsidP="00E24B78">
      <w:pPr>
        <w:jc w:val="both"/>
        <w:rPr>
          <w:rFonts w:ascii="Souvenir Lt BT" w:hAnsi="Souvenir Lt BT"/>
          <w:sz w:val="24"/>
          <w:szCs w:val="24"/>
        </w:rPr>
      </w:pPr>
      <w:r w:rsidRPr="00E24B78">
        <w:rPr>
          <w:rFonts w:ascii="Souvenir Lt BT" w:hAnsi="Souvenir Lt BT"/>
          <w:sz w:val="24"/>
          <w:szCs w:val="24"/>
        </w:rPr>
        <w:lastRenderedPageBreak/>
        <w:t xml:space="preserve">The </w:t>
      </w:r>
      <w:r w:rsidR="008D645E" w:rsidRPr="00E24B78">
        <w:rPr>
          <w:rFonts w:ascii="Souvenir Lt BT" w:hAnsi="Souvenir Lt BT"/>
          <w:sz w:val="24"/>
          <w:szCs w:val="24"/>
        </w:rPr>
        <w:t xml:space="preserve">Service Interaction Process </w:t>
      </w:r>
      <w:r w:rsidRPr="00E24B78">
        <w:rPr>
          <w:rFonts w:ascii="Souvenir Lt BT" w:hAnsi="Souvenir Lt BT"/>
          <w:sz w:val="24"/>
          <w:szCs w:val="24"/>
        </w:rPr>
        <w:t xml:space="preserve">Models </w:t>
      </w:r>
      <w:r w:rsidR="00440623" w:rsidRPr="00E24B78">
        <w:rPr>
          <w:rFonts w:ascii="Souvenir Lt BT" w:hAnsi="Souvenir Lt BT"/>
          <w:sz w:val="24"/>
          <w:szCs w:val="24"/>
        </w:rPr>
        <w:t xml:space="preserve">in this document </w:t>
      </w:r>
      <w:r w:rsidRPr="00E24B78">
        <w:rPr>
          <w:rFonts w:ascii="Souvenir Lt BT" w:hAnsi="Souvenir Lt BT"/>
          <w:sz w:val="24"/>
          <w:szCs w:val="24"/>
        </w:rPr>
        <w:t>use</w:t>
      </w:r>
      <w:r w:rsidR="00260F17" w:rsidRPr="00E24B78">
        <w:rPr>
          <w:rFonts w:ascii="Souvenir Lt BT" w:hAnsi="Souvenir Lt BT"/>
          <w:sz w:val="24"/>
          <w:szCs w:val="24"/>
        </w:rPr>
        <w:t xml:space="preserve"> the following BPMN components</w:t>
      </w:r>
      <w:r w:rsidRPr="00E24B78">
        <w:rPr>
          <w:rFonts w:ascii="Souvenir Lt BT" w:hAnsi="Souvenir Lt BT"/>
          <w:sz w:val="24"/>
          <w:szCs w:val="24"/>
        </w:rPr>
        <w:t xml:space="preserve"> to represent </w:t>
      </w:r>
      <w:r w:rsidR="008D645E" w:rsidRPr="00E24B78">
        <w:rPr>
          <w:rFonts w:ascii="Souvenir Lt BT" w:hAnsi="Souvenir Lt BT"/>
          <w:sz w:val="24"/>
          <w:szCs w:val="24"/>
        </w:rPr>
        <w:t xml:space="preserve">Service Interaction Process </w:t>
      </w:r>
      <w:r w:rsidRPr="00E24B78">
        <w:rPr>
          <w:rFonts w:ascii="Souvenir Lt BT" w:hAnsi="Souvenir Lt BT"/>
          <w:sz w:val="24"/>
          <w:szCs w:val="24"/>
        </w:rPr>
        <w:t>Model components</w:t>
      </w:r>
      <w:r w:rsidR="00EA305C" w:rsidRPr="00E24B78">
        <w:rPr>
          <w:rFonts w:ascii="Souvenir Lt BT" w:hAnsi="Souvenir Lt BT"/>
          <w:sz w:val="24"/>
          <w:szCs w:val="24"/>
        </w:rPr>
        <w:t xml:space="preserve"> as shown below</w:t>
      </w:r>
      <w:r w:rsidR="00260F17" w:rsidRPr="00E24B78">
        <w:rPr>
          <w:rFonts w:ascii="Souvenir Lt BT" w:hAnsi="Souvenir Lt BT"/>
          <w:sz w:val="24"/>
          <w:szCs w:val="24"/>
        </w:rPr>
        <w:t>:</w:t>
      </w:r>
    </w:p>
    <w:p w14:paraId="36DB8526" w14:textId="77777777" w:rsidR="00260F17" w:rsidRPr="00E24B78" w:rsidRDefault="00260F17" w:rsidP="007638C2">
      <w:pPr>
        <w:rPr>
          <w:rFonts w:ascii="Souvenir Lt BT" w:hAnsi="Souvenir Lt BT"/>
          <w:sz w:val="24"/>
          <w:szCs w:val="24"/>
        </w:rPr>
      </w:pPr>
    </w:p>
    <w:p w14:paraId="777B87C7" w14:textId="140122A8" w:rsidR="00EA1836" w:rsidRPr="007638C2" w:rsidRDefault="004B24DF" w:rsidP="007638C2">
      <w:r>
        <w:rPr>
          <w:noProof/>
          <w:sz w:val="16"/>
          <w:szCs w:val="16"/>
        </w:rPr>
        <w:drawing>
          <wp:inline distT="0" distB="0" distL="0" distR="0" wp14:anchorId="0A9B55A2" wp14:editId="5D6716DA">
            <wp:extent cx="5597928" cy="7620000"/>
            <wp:effectExtent l="0" t="0" r="317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mponents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0565" cy="7623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18B2F3" w14:textId="2142BF60" w:rsidR="00EC4088" w:rsidRDefault="00283AD9" w:rsidP="004B24DF">
      <w:pPr>
        <w:pStyle w:val="Heading1"/>
      </w:pPr>
      <w:bookmarkStart w:id="2" w:name="_Toc339380650"/>
      <w:r>
        <w:lastRenderedPageBreak/>
        <w:t xml:space="preserve">Modeling </w:t>
      </w:r>
      <w:r w:rsidR="00EC4088">
        <w:t>Services</w:t>
      </w:r>
    </w:p>
    <w:p w14:paraId="6495BFA9" w14:textId="77777777" w:rsidR="00EC4088" w:rsidRPr="00E24B78" w:rsidRDefault="00EC4088" w:rsidP="00E24B78">
      <w:pPr>
        <w:jc w:val="both"/>
        <w:rPr>
          <w:rFonts w:ascii="Souvenir Lt BT" w:hAnsi="Souvenir Lt BT"/>
          <w:sz w:val="24"/>
          <w:szCs w:val="24"/>
        </w:rPr>
      </w:pPr>
    </w:p>
    <w:p w14:paraId="5FE696C0" w14:textId="39EEE83F" w:rsidR="00EC4088" w:rsidRPr="00E24B78" w:rsidRDefault="00EC4088" w:rsidP="00E24B78">
      <w:pPr>
        <w:jc w:val="both"/>
        <w:rPr>
          <w:rFonts w:ascii="Souvenir Lt BT" w:hAnsi="Souvenir Lt BT"/>
          <w:sz w:val="24"/>
          <w:szCs w:val="24"/>
        </w:rPr>
      </w:pPr>
      <w:r w:rsidRPr="00E24B78">
        <w:rPr>
          <w:rFonts w:ascii="Souvenir Lt BT" w:hAnsi="Souvenir Lt BT"/>
          <w:sz w:val="24"/>
          <w:szCs w:val="24"/>
        </w:rPr>
        <w:t xml:space="preserve">In </w:t>
      </w:r>
      <w:r w:rsidR="00EA305C" w:rsidRPr="00E24B78">
        <w:rPr>
          <w:rFonts w:ascii="Souvenir Lt BT" w:hAnsi="Souvenir Lt BT"/>
          <w:sz w:val="24"/>
          <w:szCs w:val="24"/>
        </w:rPr>
        <w:t xml:space="preserve">a </w:t>
      </w:r>
      <w:r w:rsidR="008D645E" w:rsidRPr="00E24B78">
        <w:rPr>
          <w:rFonts w:ascii="Souvenir Lt BT" w:hAnsi="Souvenir Lt BT"/>
          <w:sz w:val="24"/>
          <w:szCs w:val="24"/>
        </w:rPr>
        <w:t xml:space="preserve">service interaction model </w:t>
      </w:r>
      <w:r w:rsidRPr="00E24B78">
        <w:rPr>
          <w:rFonts w:ascii="Souvenir Lt BT" w:hAnsi="Souvenir Lt BT"/>
          <w:sz w:val="24"/>
          <w:szCs w:val="24"/>
        </w:rPr>
        <w:t xml:space="preserve">BPMN diagram, </w:t>
      </w:r>
      <w:r w:rsidR="00B82846">
        <w:rPr>
          <w:rFonts w:ascii="Souvenir Lt BT" w:hAnsi="Souvenir Lt BT"/>
          <w:sz w:val="24"/>
          <w:szCs w:val="24"/>
        </w:rPr>
        <w:t>t</w:t>
      </w:r>
      <w:r w:rsidRPr="00E24B78">
        <w:rPr>
          <w:rFonts w:ascii="Souvenir Lt BT" w:hAnsi="Souvenir Lt BT"/>
          <w:sz w:val="24"/>
          <w:szCs w:val="24"/>
        </w:rPr>
        <w:t>he Service is represented by</w:t>
      </w:r>
      <w:r w:rsidR="001E1DB1" w:rsidRPr="00E24B78">
        <w:rPr>
          <w:rFonts w:ascii="Souvenir Lt BT" w:hAnsi="Souvenir Lt BT"/>
          <w:sz w:val="24"/>
          <w:szCs w:val="24"/>
        </w:rPr>
        <w:t xml:space="preserve"> a BPMN Sub-process component.</w:t>
      </w:r>
      <w:r w:rsidR="00B82846">
        <w:rPr>
          <w:rFonts w:ascii="Souvenir Lt BT" w:hAnsi="Souvenir Lt BT"/>
          <w:sz w:val="24"/>
          <w:szCs w:val="24"/>
        </w:rPr>
        <w:t xml:space="preserve">  A </w:t>
      </w:r>
      <w:r w:rsidR="00D1274A" w:rsidRPr="00E24B78">
        <w:rPr>
          <w:rFonts w:ascii="Souvenir Lt BT" w:hAnsi="Souvenir Lt BT"/>
          <w:sz w:val="24"/>
          <w:szCs w:val="24"/>
        </w:rPr>
        <w:t xml:space="preserve">Type I service represents a service that does not interface with a subsequent service and the </w:t>
      </w:r>
      <w:r w:rsidR="008D645E" w:rsidRPr="00E24B78">
        <w:rPr>
          <w:rFonts w:ascii="Souvenir Lt BT" w:hAnsi="Souvenir Lt BT"/>
          <w:sz w:val="24"/>
          <w:szCs w:val="24"/>
        </w:rPr>
        <w:t xml:space="preserve">Service Interaction Process </w:t>
      </w:r>
      <w:r w:rsidR="00D1274A" w:rsidRPr="00E24B78">
        <w:rPr>
          <w:rFonts w:ascii="Souvenir Lt BT" w:hAnsi="Souvenir Lt BT"/>
          <w:sz w:val="24"/>
          <w:szCs w:val="24"/>
        </w:rPr>
        <w:t>model ends.  A Type II service represents a service that does interface with a subsequent service</w:t>
      </w:r>
      <w:r w:rsidR="00EA305C" w:rsidRPr="00E24B78">
        <w:rPr>
          <w:rFonts w:ascii="Souvenir Lt BT" w:hAnsi="Souvenir Lt BT"/>
          <w:sz w:val="24"/>
          <w:szCs w:val="24"/>
        </w:rPr>
        <w:t xml:space="preserve"> by consuming that service</w:t>
      </w:r>
      <w:r w:rsidR="008D645E" w:rsidRPr="00E24B78">
        <w:rPr>
          <w:rFonts w:ascii="Souvenir Lt BT" w:hAnsi="Souvenir Lt BT"/>
          <w:sz w:val="24"/>
          <w:szCs w:val="24"/>
        </w:rPr>
        <w:t xml:space="preserve"> </w:t>
      </w:r>
      <w:r w:rsidR="006E1F58" w:rsidRPr="00E24B78">
        <w:rPr>
          <w:rFonts w:ascii="Souvenir Lt BT" w:hAnsi="Souvenir Lt BT"/>
          <w:sz w:val="24"/>
          <w:szCs w:val="24"/>
        </w:rPr>
        <w:t xml:space="preserve">through a “service call” </w:t>
      </w:r>
      <w:r w:rsidR="000D7BDF" w:rsidRPr="00E24B78">
        <w:rPr>
          <w:rFonts w:ascii="Souvenir Lt BT" w:hAnsi="Souvenir Lt BT"/>
          <w:sz w:val="24"/>
          <w:szCs w:val="24"/>
        </w:rPr>
        <w:t>and invoking an</w:t>
      </w:r>
      <w:r w:rsidR="00EC31D0" w:rsidRPr="00E24B78">
        <w:rPr>
          <w:rFonts w:ascii="Souvenir Lt BT" w:hAnsi="Souvenir Lt BT"/>
          <w:sz w:val="24"/>
          <w:szCs w:val="24"/>
        </w:rPr>
        <w:t xml:space="preserve"> </w:t>
      </w:r>
      <w:r w:rsidR="00EA305C" w:rsidRPr="00E24B78">
        <w:rPr>
          <w:rFonts w:ascii="Souvenir Lt BT" w:hAnsi="Souvenir Lt BT"/>
          <w:sz w:val="24"/>
          <w:szCs w:val="24"/>
        </w:rPr>
        <w:t>action</w:t>
      </w:r>
      <w:r w:rsidR="00D1274A" w:rsidRPr="00E24B78">
        <w:rPr>
          <w:rFonts w:ascii="Souvenir Lt BT" w:hAnsi="Souvenir Lt BT"/>
          <w:sz w:val="24"/>
          <w:szCs w:val="24"/>
        </w:rPr>
        <w:t>.</w:t>
      </w:r>
    </w:p>
    <w:p w14:paraId="2C323438" w14:textId="77777777" w:rsidR="00EC4088" w:rsidRPr="00E24B78" w:rsidRDefault="00EC4088" w:rsidP="00E24B78">
      <w:pPr>
        <w:jc w:val="both"/>
        <w:rPr>
          <w:rFonts w:ascii="Souvenir Lt BT" w:hAnsi="Souvenir Lt BT"/>
          <w:sz w:val="24"/>
          <w:szCs w:val="24"/>
        </w:rPr>
      </w:pPr>
    </w:p>
    <w:p w14:paraId="1D0A1479" w14:textId="18E8A4C0" w:rsidR="00EC4088" w:rsidRDefault="006E1F58" w:rsidP="00E24B78">
      <w:pPr>
        <w:pStyle w:val="Heading1"/>
      </w:pPr>
      <w:r>
        <w:t>Type I Service A</w:t>
      </w:r>
      <w:r w:rsidR="00EF26FA">
        <w:t>ssumptions</w:t>
      </w:r>
      <w:r w:rsidR="00EC4088">
        <w:t>:</w:t>
      </w:r>
    </w:p>
    <w:p w14:paraId="26C02E6A" w14:textId="77777777" w:rsidR="00EC4088" w:rsidRPr="00E24B78" w:rsidRDefault="00EC4088" w:rsidP="00EC4088">
      <w:pPr>
        <w:rPr>
          <w:rFonts w:ascii="Souvenir Lt BT" w:hAnsi="Souvenir Lt BT"/>
          <w:sz w:val="24"/>
          <w:szCs w:val="24"/>
        </w:rPr>
      </w:pPr>
    </w:p>
    <w:p w14:paraId="35C164C9" w14:textId="0A6E6A77" w:rsidR="00EC4088" w:rsidRPr="00E24B78" w:rsidRDefault="00EF26FA" w:rsidP="00E24B78">
      <w:pPr>
        <w:pStyle w:val="ListParagraph"/>
        <w:numPr>
          <w:ilvl w:val="0"/>
          <w:numId w:val="25"/>
        </w:numPr>
        <w:ind w:left="1080" w:right="720"/>
        <w:jc w:val="both"/>
        <w:rPr>
          <w:rFonts w:ascii="Souvenir Lt BT" w:hAnsi="Souvenir Lt BT"/>
          <w:sz w:val="24"/>
          <w:szCs w:val="24"/>
        </w:rPr>
      </w:pPr>
      <w:r w:rsidRPr="00E24B78">
        <w:rPr>
          <w:rFonts w:ascii="Souvenir Lt BT" w:hAnsi="Souvenir Lt BT"/>
          <w:sz w:val="24"/>
          <w:szCs w:val="24"/>
        </w:rPr>
        <w:t xml:space="preserve">For a Type I Service that simply receives a message, </w:t>
      </w:r>
      <w:r w:rsidR="00E62050" w:rsidRPr="00E24B78">
        <w:rPr>
          <w:rFonts w:ascii="Souvenir Lt BT" w:hAnsi="Souvenir Lt BT"/>
          <w:sz w:val="24"/>
          <w:szCs w:val="24"/>
        </w:rPr>
        <w:t>t</w:t>
      </w:r>
      <w:r w:rsidRPr="00E24B78">
        <w:rPr>
          <w:rFonts w:ascii="Souvenir Lt BT" w:hAnsi="Souvenir Lt BT"/>
          <w:sz w:val="24"/>
          <w:szCs w:val="24"/>
        </w:rPr>
        <w:t xml:space="preserve">he End Event is the only component within the </w:t>
      </w:r>
      <w:r w:rsidR="00EC4088" w:rsidRPr="00E24B78">
        <w:rPr>
          <w:rFonts w:ascii="Souvenir Lt BT" w:hAnsi="Souvenir Lt BT"/>
          <w:sz w:val="24"/>
          <w:szCs w:val="24"/>
        </w:rPr>
        <w:t xml:space="preserve">BPMN </w:t>
      </w:r>
      <w:r w:rsidRPr="00E24B78">
        <w:rPr>
          <w:rFonts w:ascii="Souvenir Lt BT" w:hAnsi="Souvenir Lt BT"/>
          <w:sz w:val="24"/>
          <w:szCs w:val="24"/>
        </w:rPr>
        <w:t>Sub-process (</w:t>
      </w:r>
      <w:r w:rsidR="00EC4088" w:rsidRPr="00E24B78">
        <w:rPr>
          <w:rFonts w:ascii="Souvenir Lt BT" w:hAnsi="Souvenir Lt BT"/>
          <w:sz w:val="24"/>
          <w:szCs w:val="24"/>
        </w:rPr>
        <w:t>Service</w:t>
      </w:r>
      <w:r w:rsidRPr="00E24B78">
        <w:rPr>
          <w:rFonts w:ascii="Souvenir Lt BT" w:hAnsi="Souvenir Lt BT"/>
          <w:sz w:val="24"/>
          <w:szCs w:val="24"/>
        </w:rPr>
        <w:t>) flow</w:t>
      </w:r>
      <w:r w:rsidR="00EC4088" w:rsidRPr="00E24B78">
        <w:rPr>
          <w:rFonts w:ascii="Souvenir Lt BT" w:hAnsi="Souvenir Lt BT"/>
          <w:sz w:val="24"/>
          <w:szCs w:val="24"/>
        </w:rPr>
        <w:t xml:space="preserve">.  </w:t>
      </w:r>
    </w:p>
    <w:p w14:paraId="26AF6BB8" w14:textId="77777777" w:rsidR="00EF26FA" w:rsidRPr="00E24B78" w:rsidRDefault="00EF26FA" w:rsidP="00EF26FA">
      <w:pPr>
        <w:rPr>
          <w:rFonts w:ascii="Souvenir Lt BT" w:hAnsi="Souvenir Lt BT"/>
          <w:sz w:val="24"/>
          <w:szCs w:val="24"/>
        </w:rPr>
      </w:pPr>
    </w:p>
    <w:p w14:paraId="0ABFB1D8" w14:textId="77777777" w:rsidR="00455A46" w:rsidRPr="00E24B78" w:rsidRDefault="00455A46" w:rsidP="00EF26FA">
      <w:pPr>
        <w:rPr>
          <w:rFonts w:ascii="Souvenir Lt BT" w:hAnsi="Souvenir Lt BT"/>
          <w:sz w:val="24"/>
          <w:szCs w:val="24"/>
        </w:rPr>
      </w:pPr>
    </w:p>
    <w:p w14:paraId="337876BB" w14:textId="317DB786" w:rsidR="00455A46" w:rsidRDefault="00455A46" w:rsidP="00EF26FA">
      <w:r>
        <w:rPr>
          <w:noProof/>
        </w:rPr>
        <w:drawing>
          <wp:inline distT="0" distB="0" distL="0" distR="0" wp14:anchorId="6E09549E" wp14:editId="58DE47C5">
            <wp:extent cx="5943600" cy="17589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ype I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58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0DA309" w14:textId="77777777" w:rsidR="00E24B78" w:rsidRDefault="00E24B78" w:rsidP="00E24B78">
      <w:pPr>
        <w:pStyle w:val="Heading1"/>
      </w:pPr>
    </w:p>
    <w:p w14:paraId="7F0C6DE5" w14:textId="6C35D2DD" w:rsidR="00EF26FA" w:rsidRDefault="006E1F58" w:rsidP="00E24B78">
      <w:pPr>
        <w:pStyle w:val="Heading1"/>
      </w:pPr>
      <w:r>
        <w:t>Type II Service A</w:t>
      </w:r>
      <w:r w:rsidR="00EF26FA">
        <w:t>ssumptions:</w:t>
      </w:r>
    </w:p>
    <w:p w14:paraId="12F3CFE9" w14:textId="77777777" w:rsidR="00EF26FA" w:rsidRDefault="00EF26FA" w:rsidP="00EF26FA"/>
    <w:p w14:paraId="2E7BE281" w14:textId="77777777" w:rsidR="00EF26FA" w:rsidRPr="00E24B78" w:rsidRDefault="00EF26FA" w:rsidP="00E24B78">
      <w:pPr>
        <w:pStyle w:val="ListParagraph"/>
        <w:numPr>
          <w:ilvl w:val="0"/>
          <w:numId w:val="25"/>
        </w:numPr>
        <w:ind w:left="1080" w:right="720"/>
        <w:jc w:val="both"/>
        <w:rPr>
          <w:rFonts w:ascii="Souvenir Lt BT" w:hAnsi="Souvenir Lt BT"/>
          <w:sz w:val="24"/>
          <w:szCs w:val="24"/>
        </w:rPr>
      </w:pPr>
      <w:r w:rsidRPr="00E24B78">
        <w:rPr>
          <w:rFonts w:ascii="Souvenir Lt BT" w:hAnsi="Souvenir Lt BT"/>
          <w:sz w:val="24"/>
          <w:szCs w:val="24"/>
        </w:rPr>
        <w:t xml:space="preserve">The BPMN Message End Event (Service Call) is always the last component in the BPMN Sub-process (Service) flow. </w:t>
      </w:r>
    </w:p>
    <w:p w14:paraId="61AD45EE" w14:textId="77777777" w:rsidR="00EF26FA" w:rsidRPr="00E24B78" w:rsidRDefault="00EF26FA" w:rsidP="00E24B78">
      <w:pPr>
        <w:pStyle w:val="ListParagraph"/>
        <w:ind w:left="1080" w:right="720"/>
        <w:jc w:val="both"/>
        <w:rPr>
          <w:rFonts w:ascii="Souvenir Lt BT" w:hAnsi="Souvenir Lt BT"/>
          <w:sz w:val="24"/>
          <w:szCs w:val="24"/>
        </w:rPr>
      </w:pPr>
    </w:p>
    <w:p w14:paraId="4F6097D9" w14:textId="71B63A1C" w:rsidR="00EF26FA" w:rsidRPr="00E24B78" w:rsidRDefault="00EF26FA" w:rsidP="00E24B78">
      <w:pPr>
        <w:pStyle w:val="ListParagraph"/>
        <w:numPr>
          <w:ilvl w:val="0"/>
          <w:numId w:val="25"/>
        </w:numPr>
        <w:ind w:left="1080" w:right="720"/>
        <w:jc w:val="both"/>
        <w:rPr>
          <w:rFonts w:ascii="Souvenir Lt BT" w:hAnsi="Souvenir Lt BT"/>
          <w:sz w:val="24"/>
          <w:szCs w:val="24"/>
        </w:rPr>
      </w:pPr>
      <w:r w:rsidRPr="00E24B78">
        <w:rPr>
          <w:rFonts w:ascii="Souvenir Lt BT" w:hAnsi="Souvenir Lt BT"/>
          <w:sz w:val="24"/>
          <w:szCs w:val="24"/>
        </w:rPr>
        <w:t>The BPMN Message Star</w:t>
      </w:r>
      <w:r w:rsidR="00407318" w:rsidRPr="00E24B78">
        <w:rPr>
          <w:rFonts w:ascii="Souvenir Lt BT" w:hAnsi="Souvenir Lt BT"/>
          <w:sz w:val="24"/>
          <w:szCs w:val="24"/>
        </w:rPr>
        <w:t xml:space="preserve">t Event </w:t>
      </w:r>
      <w:r w:rsidRPr="00E24B78">
        <w:rPr>
          <w:rFonts w:ascii="Souvenir Lt BT" w:hAnsi="Souvenir Lt BT"/>
          <w:sz w:val="24"/>
          <w:szCs w:val="24"/>
        </w:rPr>
        <w:t>(</w:t>
      </w:r>
      <w:r w:rsidR="00407318" w:rsidRPr="00E24B78">
        <w:rPr>
          <w:rFonts w:ascii="Souvenir Lt BT" w:hAnsi="Souvenir Lt BT"/>
          <w:sz w:val="24"/>
          <w:szCs w:val="24"/>
        </w:rPr>
        <w:t xml:space="preserve">a subsequent service </w:t>
      </w:r>
      <w:r w:rsidR="00283AD9" w:rsidRPr="00E24B78">
        <w:rPr>
          <w:rFonts w:ascii="Souvenir Lt BT" w:hAnsi="Souvenir Lt BT"/>
          <w:sz w:val="24"/>
          <w:szCs w:val="24"/>
        </w:rPr>
        <w:t>a</w:t>
      </w:r>
      <w:r w:rsidRPr="00E24B78">
        <w:rPr>
          <w:rFonts w:ascii="Souvenir Lt BT" w:hAnsi="Souvenir Lt BT"/>
          <w:sz w:val="24"/>
          <w:szCs w:val="24"/>
        </w:rPr>
        <w:t xml:space="preserve">ction) is always connected to the BPMN Message Flow coming from the BPMN Sub-process (Service). </w:t>
      </w:r>
    </w:p>
    <w:p w14:paraId="0D29D147" w14:textId="77777777" w:rsidR="00455A46" w:rsidRPr="00E24B78" w:rsidRDefault="00455A46" w:rsidP="00E24B78">
      <w:pPr>
        <w:pStyle w:val="ListParagraph"/>
        <w:ind w:left="1080" w:right="720"/>
        <w:jc w:val="both"/>
        <w:rPr>
          <w:rFonts w:ascii="Souvenir Lt BT" w:hAnsi="Souvenir Lt BT"/>
          <w:sz w:val="24"/>
          <w:szCs w:val="24"/>
        </w:rPr>
      </w:pPr>
    </w:p>
    <w:p w14:paraId="4A12245C" w14:textId="15BE68A9" w:rsidR="00EC4088" w:rsidRDefault="00455A46" w:rsidP="00EC4088">
      <w:r>
        <w:rPr>
          <w:noProof/>
        </w:rPr>
        <w:drawing>
          <wp:inline distT="0" distB="0" distL="0" distR="0" wp14:anchorId="44C1DE3B" wp14:editId="697E688C">
            <wp:extent cx="5943600" cy="156400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ype II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64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09B2FE" w14:textId="5AD75755" w:rsidR="00EC4088" w:rsidRDefault="00EC4088" w:rsidP="00EC4088">
      <w:pPr>
        <w:jc w:val="center"/>
      </w:pPr>
    </w:p>
    <w:p w14:paraId="50247E62" w14:textId="77777777" w:rsidR="00EC4088" w:rsidRDefault="00EC4088" w:rsidP="00EC4088">
      <w:pPr>
        <w:spacing w:after="200" w:line="276" w:lineRule="auto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>
        <w:br w:type="page"/>
      </w:r>
    </w:p>
    <w:p w14:paraId="28775707" w14:textId="5DA60C48" w:rsidR="00283AD9" w:rsidRDefault="00283AD9" w:rsidP="00E24B78">
      <w:pPr>
        <w:pStyle w:val="Heading1"/>
      </w:pPr>
      <w:r>
        <w:lastRenderedPageBreak/>
        <w:t>Intermediary Services</w:t>
      </w:r>
    </w:p>
    <w:p w14:paraId="47871020" w14:textId="77777777" w:rsidR="001E1DB1" w:rsidRPr="00E24B78" w:rsidRDefault="001E1DB1" w:rsidP="00E24B78">
      <w:pPr>
        <w:jc w:val="both"/>
        <w:rPr>
          <w:rFonts w:ascii="Souvenir Lt BT" w:hAnsi="Souvenir Lt BT"/>
          <w:sz w:val="24"/>
          <w:szCs w:val="24"/>
        </w:rPr>
      </w:pPr>
    </w:p>
    <w:p w14:paraId="23826FFF" w14:textId="4F70269C" w:rsidR="001E1DB1" w:rsidRPr="00E24B78" w:rsidRDefault="001E1DB1" w:rsidP="00E24B78">
      <w:pPr>
        <w:jc w:val="both"/>
        <w:rPr>
          <w:rFonts w:ascii="Souvenir Lt BT" w:hAnsi="Souvenir Lt BT"/>
          <w:sz w:val="24"/>
          <w:szCs w:val="24"/>
        </w:rPr>
      </w:pPr>
      <w:r w:rsidRPr="00E24B78">
        <w:rPr>
          <w:rFonts w:ascii="Souvenir Lt BT" w:hAnsi="Souvenir Lt BT"/>
          <w:sz w:val="24"/>
          <w:szCs w:val="24"/>
        </w:rPr>
        <w:t>Typically, an intermediary service will perform some function on the message</w:t>
      </w:r>
      <w:r w:rsidR="00E24B78">
        <w:rPr>
          <w:rFonts w:ascii="Souvenir Lt BT" w:hAnsi="Souvenir Lt BT"/>
          <w:sz w:val="24"/>
          <w:szCs w:val="24"/>
        </w:rPr>
        <w:t>,</w:t>
      </w:r>
      <w:r w:rsidRPr="00E24B78">
        <w:rPr>
          <w:rFonts w:ascii="Souvenir Lt BT" w:hAnsi="Souvenir Lt BT"/>
          <w:sz w:val="24"/>
          <w:szCs w:val="24"/>
        </w:rPr>
        <w:t xml:space="preserve"> such as a transformation, routing</w:t>
      </w:r>
      <w:r w:rsidR="000D7BDF" w:rsidRPr="00E24B78">
        <w:rPr>
          <w:rFonts w:ascii="Souvenir Lt BT" w:hAnsi="Souvenir Lt BT"/>
          <w:sz w:val="24"/>
          <w:szCs w:val="24"/>
        </w:rPr>
        <w:t xml:space="preserve">, </w:t>
      </w:r>
      <w:r w:rsidR="00586FA8" w:rsidRPr="00E24B78">
        <w:rPr>
          <w:rFonts w:ascii="Souvenir Lt BT" w:hAnsi="Souvenir Lt BT"/>
          <w:sz w:val="24"/>
          <w:szCs w:val="24"/>
        </w:rPr>
        <w:t>assembly of a new message</w:t>
      </w:r>
      <w:r w:rsidR="000D7BDF" w:rsidRPr="00E24B78">
        <w:rPr>
          <w:rFonts w:ascii="Souvenir Lt BT" w:hAnsi="Souvenir Lt BT"/>
          <w:sz w:val="24"/>
          <w:szCs w:val="24"/>
        </w:rPr>
        <w:t xml:space="preserve">, </w:t>
      </w:r>
      <w:r w:rsidR="00EC31D0" w:rsidRPr="00E24B78">
        <w:rPr>
          <w:rFonts w:ascii="Souvenir Lt BT" w:hAnsi="Souvenir Lt BT"/>
          <w:sz w:val="24"/>
          <w:szCs w:val="24"/>
        </w:rPr>
        <w:t>etc</w:t>
      </w:r>
      <w:r w:rsidR="00586FA8" w:rsidRPr="00E24B78">
        <w:rPr>
          <w:rFonts w:ascii="Souvenir Lt BT" w:hAnsi="Souvenir Lt BT"/>
          <w:sz w:val="24"/>
          <w:szCs w:val="24"/>
        </w:rPr>
        <w:t xml:space="preserve">.  </w:t>
      </w:r>
      <w:r w:rsidRPr="00E24B78">
        <w:rPr>
          <w:rFonts w:ascii="Souvenir Lt BT" w:hAnsi="Souvenir Lt BT"/>
          <w:sz w:val="24"/>
          <w:szCs w:val="24"/>
        </w:rPr>
        <w:t xml:space="preserve">For more complicated </w:t>
      </w:r>
      <w:r w:rsidR="00586FA8" w:rsidRPr="00E24B78">
        <w:rPr>
          <w:rFonts w:ascii="Souvenir Lt BT" w:hAnsi="Souvenir Lt BT"/>
          <w:sz w:val="24"/>
          <w:szCs w:val="24"/>
        </w:rPr>
        <w:t>intermediary services</w:t>
      </w:r>
      <w:r w:rsidRPr="00E24B78">
        <w:rPr>
          <w:rFonts w:ascii="Souvenir Lt BT" w:hAnsi="Souvenir Lt BT"/>
          <w:sz w:val="24"/>
          <w:szCs w:val="24"/>
        </w:rPr>
        <w:t xml:space="preserve">, the Sub-process BPMN component can be edited in expanded view </w:t>
      </w:r>
      <w:r w:rsidR="00586FA8" w:rsidRPr="00E24B78">
        <w:rPr>
          <w:rFonts w:ascii="Souvenir Lt BT" w:hAnsi="Souvenir Lt BT"/>
          <w:sz w:val="24"/>
          <w:szCs w:val="24"/>
        </w:rPr>
        <w:t xml:space="preserve">as shown below.  The </w:t>
      </w:r>
      <w:r w:rsidRPr="00E24B78">
        <w:rPr>
          <w:rFonts w:ascii="Souvenir Lt BT" w:hAnsi="Souvenir Lt BT"/>
          <w:sz w:val="24"/>
          <w:szCs w:val="24"/>
        </w:rPr>
        <w:t xml:space="preserve">expanded view of the Service should be provided in a separate </w:t>
      </w:r>
      <w:r w:rsidR="00586FA8" w:rsidRPr="00E24B78">
        <w:rPr>
          <w:rFonts w:ascii="Souvenir Lt BT" w:hAnsi="Souvenir Lt BT"/>
          <w:sz w:val="24"/>
          <w:szCs w:val="24"/>
        </w:rPr>
        <w:t xml:space="preserve">BPMN </w:t>
      </w:r>
      <w:r w:rsidRPr="00E24B78">
        <w:rPr>
          <w:rFonts w:ascii="Souvenir Lt BT" w:hAnsi="Souvenir Lt BT"/>
          <w:sz w:val="24"/>
          <w:szCs w:val="24"/>
        </w:rPr>
        <w:t>diagram</w:t>
      </w:r>
      <w:r w:rsidR="00586FA8" w:rsidRPr="00E24B78">
        <w:rPr>
          <w:rFonts w:ascii="Souvenir Lt BT" w:hAnsi="Souvenir Lt BT"/>
          <w:sz w:val="24"/>
          <w:szCs w:val="24"/>
        </w:rPr>
        <w:t xml:space="preserve"> (see below)</w:t>
      </w:r>
      <w:r w:rsidR="00EC31D0" w:rsidRPr="00E24B78">
        <w:rPr>
          <w:rFonts w:ascii="Souvenir Lt BT" w:hAnsi="Souvenir Lt BT"/>
          <w:sz w:val="24"/>
          <w:szCs w:val="24"/>
        </w:rPr>
        <w:t xml:space="preserve"> for more complex intermediaries</w:t>
      </w:r>
      <w:r w:rsidRPr="00E24B78">
        <w:rPr>
          <w:rFonts w:ascii="Souvenir Lt BT" w:hAnsi="Souvenir Lt BT"/>
          <w:sz w:val="24"/>
          <w:szCs w:val="24"/>
        </w:rPr>
        <w:t xml:space="preserve">.  </w:t>
      </w:r>
    </w:p>
    <w:p w14:paraId="4445C264" w14:textId="77777777" w:rsidR="001E1DB1" w:rsidRPr="00E24B78" w:rsidRDefault="001E1DB1" w:rsidP="00E24B78">
      <w:pPr>
        <w:jc w:val="both"/>
        <w:rPr>
          <w:rFonts w:ascii="Souvenir Lt BT" w:hAnsi="Souvenir Lt BT"/>
          <w:sz w:val="24"/>
          <w:szCs w:val="24"/>
        </w:rPr>
      </w:pPr>
    </w:p>
    <w:p w14:paraId="4631FCA0" w14:textId="77777777" w:rsidR="00283AD9" w:rsidRDefault="00283AD9" w:rsidP="00283AD9"/>
    <w:p w14:paraId="41698F37" w14:textId="67E75EBF" w:rsidR="00EC4088" w:rsidRPr="006E1F58" w:rsidRDefault="00301609" w:rsidP="006E1F58">
      <w:r>
        <w:rPr>
          <w:noProof/>
        </w:rPr>
        <w:drawing>
          <wp:inline distT="0" distB="0" distL="0" distR="0" wp14:anchorId="68F37F04" wp14:editId="1B5A8AF6">
            <wp:extent cx="5943600" cy="5385435"/>
            <wp:effectExtent l="0" t="0" r="0" b="571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rvice Subprocess-Intermediary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385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99DD79" w14:textId="77777777" w:rsidR="00992FFF" w:rsidRDefault="00992FFF">
      <w:pPr>
        <w:spacing w:after="200" w:line="276" w:lineRule="auto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>
        <w:br w:type="page"/>
      </w:r>
    </w:p>
    <w:p w14:paraId="6C45F531" w14:textId="71208BA3" w:rsidR="00B23B2D" w:rsidRPr="00AF5A36" w:rsidRDefault="004C40AC" w:rsidP="00AF5A36">
      <w:pPr>
        <w:pStyle w:val="Heading1"/>
      </w:pPr>
      <w:r>
        <w:lastRenderedPageBreak/>
        <w:t>Event-Driven</w:t>
      </w:r>
      <w:r w:rsidR="00BC53B1">
        <w:t xml:space="preserve"> </w:t>
      </w:r>
      <w:r w:rsidR="008D645E">
        <w:t xml:space="preserve">Service Interaction Process </w:t>
      </w:r>
      <w:r w:rsidR="00BC53B1">
        <w:t>Model</w:t>
      </w:r>
      <w:bookmarkEnd w:id="2"/>
    </w:p>
    <w:p w14:paraId="76572FCC" w14:textId="77777777" w:rsidR="00F558AD" w:rsidRPr="00E24B78" w:rsidRDefault="00F558AD" w:rsidP="00F558AD">
      <w:pPr>
        <w:autoSpaceDE w:val="0"/>
        <w:autoSpaceDN w:val="0"/>
        <w:rPr>
          <w:rFonts w:ascii="Souvenir Lt BT" w:hAnsi="Souvenir Lt BT" w:cs="Times New Roman"/>
          <w:color w:val="000000"/>
          <w:sz w:val="24"/>
          <w:szCs w:val="24"/>
        </w:rPr>
      </w:pPr>
    </w:p>
    <w:p w14:paraId="5898B629" w14:textId="49CE07C8" w:rsidR="008265E7" w:rsidRPr="00E24B78" w:rsidRDefault="004C40AC" w:rsidP="008963B0">
      <w:pPr>
        <w:rPr>
          <w:rFonts w:ascii="Souvenir Lt BT" w:hAnsi="Souvenir Lt BT"/>
          <w:sz w:val="24"/>
          <w:szCs w:val="24"/>
        </w:rPr>
      </w:pPr>
      <w:r w:rsidRPr="00E24B78">
        <w:rPr>
          <w:rFonts w:ascii="Souvenir Lt BT" w:hAnsi="Souvenir Lt BT"/>
          <w:b/>
          <w:sz w:val="24"/>
          <w:szCs w:val="24"/>
        </w:rPr>
        <w:t>Event-Driven</w:t>
      </w:r>
      <w:r w:rsidR="00BE5B0B" w:rsidRPr="00E24B78">
        <w:rPr>
          <w:rFonts w:ascii="Souvenir Lt BT" w:hAnsi="Souvenir Lt BT"/>
          <w:b/>
          <w:sz w:val="24"/>
          <w:szCs w:val="24"/>
        </w:rPr>
        <w:t xml:space="preserve"> Archetype</w:t>
      </w:r>
    </w:p>
    <w:p w14:paraId="688592DA" w14:textId="33EEE767" w:rsidR="008963B0" w:rsidRPr="00E24B78" w:rsidRDefault="00E62050" w:rsidP="00E24B78">
      <w:pPr>
        <w:jc w:val="both"/>
        <w:rPr>
          <w:rFonts w:ascii="Souvenir Lt BT" w:hAnsi="Souvenir Lt BT"/>
          <w:sz w:val="24"/>
          <w:szCs w:val="24"/>
        </w:rPr>
      </w:pPr>
      <w:r w:rsidRPr="00E24B78">
        <w:rPr>
          <w:rFonts w:ascii="Souvenir Lt BT" w:hAnsi="Souvenir Lt BT"/>
          <w:sz w:val="24"/>
          <w:szCs w:val="24"/>
        </w:rPr>
        <w:t>In the Event-Driven</w:t>
      </w:r>
      <w:r w:rsidR="00BE5B0B" w:rsidRPr="00E24B78">
        <w:rPr>
          <w:rFonts w:ascii="Souvenir Lt BT" w:hAnsi="Souvenir Lt BT"/>
          <w:sz w:val="24"/>
          <w:szCs w:val="24"/>
        </w:rPr>
        <w:t xml:space="preserve"> service interaction flow archetype, the information flow </w:t>
      </w:r>
      <w:r w:rsidR="008963B0" w:rsidRPr="00E24B78">
        <w:rPr>
          <w:rFonts w:ascii="Souvenir Lt BT" w:hAnsi="Souvenir Lt BT"/>
          <w:sz w:val="24"/>
          <w:szCs w:val="24"/>
        </w:rPr>
        <w:t>begins with the occurrence of a real-world business event that is either citizen-initiated (e.g., an arrest) or procedur</w:t>
      </w:r>
      <w:r w:rsidRPr="00E24B78">
        <w:rPr>
          <w:rFonts w:ascii="Souvenir Lt BT" w:hAnsi="Souvenir Lt BT"/>
          <w:sz w:val="24"/>
          <w:szCs w:val="24"/>
        </w:rPr>
        <w:t>al (e.g., sentencing</w:t>
      </w:r>
      <w:r w:rsidR="008963B0" w:rsidRPr="00E24B78">
        <w:rPr>
          <w:rFonts w:ascii="Souvenir Lt BT" w:hAnsi="Souvenir Lt BT"/>
          <w:sz w:val="24"/>
          <w:szCs w:val="24"/>
        </w:rPr>
        <w:t xml:space="preserve">).  The composite </w:t>
      </w:r>
      <w:r w:rsidR="00BE5B0B" w:rsidRPr="00E24B78">
        <w:rPr>
          <w:rFonts w:ascii="Souvenir Lt BT" w:hAnsi="Souvenir Lt BT"/>
          <w:sz w:val="24"/>
          <w:szCs w:val="24"/>
        </w:rPr>
        <w:t xml:space="preserve">[intermediary] </w:t>
      </w:r>
      <w:r w:rsidR="008963B0" w:rsidRPr="00E24B78">
        <w:rPr>
          <w:rFonts w:ascii="Souvenir Lt BT" w:hAnsi="Souvenir Lt BT"/>
          <w:sz w:val="24"/>
          <w:szCs w:val="24"/>
        </w:rPr>
        <w:t>response</w:t>
      </w:r>
      <w:r w:rsidR="00BE5B0B" w:rsidRPr="00E24B78">
        <w:rPr>
          <w:rFonts w:ascii="Souvenir Lt BT" w:hAnsi="Souvenir Lt BT"/>
          <w:sz w:val="24"/>
          <w:szCs w:val="24"/>
        </w:rPr>
        <w:t xml:space="preserve"> </w:t>
      </w:r>
      <w:r w:rsidR="008963B0" w:rsidRPr="00E24B78">
        <w:rPr>
          <w:rFonts w:ascii="Souvenir Lt BT" w:hAnsi="Souvenir Lt BT"/>
          <w:sz w:val="24"/>
          <w:szCs w:val="24"/>
        </w:rPr>
        <w:t>under this archetype represents the enterprise response or “handling” of this event, which generally involves orchestra</w:t>
      </w:r>
      <w:r w:rsidR="00BE5B0B" w:rsidRPr="00E24B78">
        <w:rPr>
          <w:rFonts w:ascii="Souvenir Lt BT" w:hAnsi="Souvenir Lt BT"/>
          <w:sz w:val="24"/>
          <w:szCs w:val="24"/>
        </w:rPr>
        <w:t xml:space="preserve">ting individual </w:t>
      </w:r>
      <w:r w:rsidR="000D7BDF" w:rsidRPr="00E24B78">
        <w:rPr>
          <w:rFonts w:ascii="Souvenir Lt BT" w:hAnsi="Souvenir Lt BT"/>
          <w:sz w:val="24"/>
          <w:szCs w:val="24"/>
        </w:rPr>
        <w:t>component [</w:t>
      </w:r>
      <w:r w:rsidR="00BE5B0B" w:rsidRPr="00E24B78">
        <w:rPr>
          <w:rFonts w:ascii="Souvenir Lt BT" w:hAnsi="Souvenir Lt BT"/>
          <w:sz w:val="24"/>
          <w:szCs w:val="24"/>
        </w:rPr>
        <w:t>responding entity</w:t>
      </w:r>
      <w:r w:rsidR="000D7BDF" w:rsidRPr="00E24B78">
        <w:rPr>
          <w:rFonts w:ascii="Souvenir Lt BT" w:hAnsi="Souvenir Lt BT"/>
          <w:sz w:val="24"/>
          <w:szCs w:val="24"/>
        </w:rPr>
        <w:t>]</w:t>
      </w:r>
      <w:r w:rsidR="008963B0" w:rsidRPr="00E24B78">
        <w:rPr>
          <w:rFonts w:ascii="Souvenir Lt BT" w:hAnsi="Souvenir Lt BT"/>
          <w:sz w:val="24"/>
          <w:szCs w:val="24"/>
        </w:rPr>
        <w:t xml:space="preserve"> responses.</w:t>
      </w:r>
      <w:r w:rsidR="00992FFF" w:rsidRPr="00E24B78">
        <w:rPr>
          <w:rFonts w:ascii="Souvenir Lt BT" w:hAnsi="Souvenir Lt BT"/>
          <w:sz w:val="24"/>
          <w:szCs w:val="24"/>
        </w:rPr>
        <w:t xml:space="preserve">  Note that the component response can also trigger a subsequent Event that would follow the same flow.</w:t>
      </w:r>
    </w:p>
    <w:p w14:paraId="731613B9" w14:textId="77777777" w:rsidR="008963B0" w:rsidRPr="00F558AD" w:rsidRDefault="008963B0" w:rsidP="008963B0"/>
    <w:p w14:paraId="3B03EC30" w14:textId="77777777" w:rsidR="003527FA" w:rsidRDefault="003527FA" w:rsidP="0073772B">
      <w:pPr>
        <w:rPr>
          <w:rFonts w:ascii="Times New Roman" w:hAnsi="Times New Roman" w:cs="Times New Roman"/>
          <w:sz w:val="23"/>
          <w:szCs w:val="23"/>
        </w:rPr>
      </w:pPr>
    </w:p>
    <w:p w14:paraId="4044D66F" w14:textId="7C3FC4F8" w:rsidR="00FD4699" w:rsidRPr="00FD4699" w:rsidRDefault="00992FFF" w:rsidP="00110AA7">
      <w:pPr>
        <w:autoSpaceDE w:val="0"/>
        <w:autoSpaceDN w:val="0"/>
        <w:jc w:val="center"/>
        <w:rPr>
          <w:rFonts w:ascii="Times New Roman" w:hAnsi="Times New Roman" w:cs="Times New Roman"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Cs/>
          <w:noProof/>
          <w:color w:val="000000"/>
          <w:sz w:val="23"/>
          <w:szCs w:val="23"/>
        </w:rPr>
        <w:drawing>
          <wp:inline distT="0" distB="0" distL="0" distR="0" wp14:anchorId="35746AF6" wp14:editId="073E2630">
            <wp:extent cx="4886325" cy="542977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vent-Driven Service Interaction Process Model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9145" cy="5432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3BB8E4" w14:textId="77777777" w:rsidR="00D27FEC" w:rsidRPr="00FD4699" w:rsidRDefault="00D27FEC" w:rsidP="00FD4699">
      <w:pPr>
        <w:autoSpaceDE w:val="0"/>
        <w:autoSpaceDN w:val="0"/>
        <w:rPr>
          <w:rFonts w:ascii="Times New Roman" w:hAnsi="Times New Roman" w:cs="Times New Roman"/>
          <w:bCs/>
          <w:color w:val="000000"/>
          <w:sz w:val="23"/>
          <w:szCs w:val="23"/>
        </w:rPr>
      </w:pPr>
    </w:p>
    <w:p w14:paraId="1AE3F010" w14:textId="77777777" w:rsidR="00A7199E" w:rsidRDefault="00A7199E" w:rsidP="0040429B">
      <w:pPr>
        <w:spacing w:after="200" w:line="276" w:lineRule="auto"/>
        <w:jc w:val="center"/>
        <w:rPr>
          <w:rFonts w:ascii="Times New Roman" w:hAnsi="Times New Roman" w:cs="Times New Roman"/>
          <w:color w:val="000000"/>
        </w:rPr>
      </w:pPr>
    </w:p>
    <w:p w14:paraId="77353094" w14:textId="529F65A4" w:rsidR="00EC5144" w:rsidRPr="00B23B2D" w:rsidRDefault="00862C2B" w:rsidP="00EC5144">
      <w:pPr>
        <w:pStyle w:val="Heading1"/>
      </w:pPr>
      <w:bookmarkStart w:id="3" w:name="_Toc339380651"/>
      <w:r>
        <w:lastRenderedPageBreak/>
        <w:t>Request</w:t>
      </w:r>
      <w:r w:rsidR="00EC5144">
        <w:t>-</w:t>
      </w:r>
      <w:r w:rsidR="004C40AC">
        <w:t>Response</w:t>
      </w:r>
      <w:r w:rsidR="00EC5144">
        <w:t xml:space="preserve"> </w:t>
      </w:r>
      <w:r w:rsidR="008D645E">
        <w:t xml:space="preserve">Service Interaction Process </w:t>
      </w:r>
      <w:r w:rsidR="00EC5144">
        <w:t>Model</w:t>
      </w:r>
      <w:bookmarkEnd w:id="3"/>
    </w:p>
    <w:p w14:paraId="2CD7ED51" w14:textId="77777777" w:rsidR="00EC5144" w:rsidRPr="00E24B78" w:rsidRDefault="00EC5144" w:rsidP="00E24B78">
      <w:pPr>
        <w:jc w:val="both"/>
        <w:rPr>
          <w:rFonts w:ascii="Souvenir Lt BT" w:hAnsi="Souvenir Lt BT"/>
          <w:sz w:val="24"/>
          <w:szCs w:val="24"/>
        </w:rPr>
      </w:pPr>
    </w:p>
    <w:p w14:paraId="308F1C39" w14:textId="7D3A8A06" w:rsidR="00BE5B0B" w:rsidRPr="00E24B78" w:rsidRDefault="008963B0" w:rsidP="00E24B78">
      <w:pPr>
        <w:jc w:val="both"/>
        <w:rPr>
          <w:rFonts w:ascii="Souvenir Lt BT" w:hAnsi="Souvenir Lt BT"/>
          <w:b/>
          <w:sz w:val="24"/>
          <w:szCs w:val="24"/>
        </w:rPr>
      </w:pPr>
      <w:r w:rsidRPr="00E24B78">
        <w:rPr>
          <w:rFonts w:ascii="Souvenir Lt BT" w:hAnsi="Souvenir Lt BT"/>
          <w:b/>
          <w:sz w:val="24"/>
          <w:szCs w:val="24"/>
        </w:rPr>
        <w:t>Request-</w:t>
      </w:r>
      <w:r w:rsidR="004C40AC" w:rsidRPr="00E24B78">
        <w:rPr>
          <w:rFonts w:ascii="Souvenir Lt BT" w:hAnsi="Souvenir Lt BT"/>
          <w:b/>
          <w:sz w:val="24"/>
          <w:szCs w:val="24"/>
        </w:rPr>
        <w:t>Response</w:t>
      </w:r>
      <w:r w:rsidR="00BE5B0B" w:rsidRPr="00E24B78">
        <w:rPr>
          <w:rFonts w:ascii="Souvenir Lt BT" w:hAnsi="Souvenir Lt BT"/>
          <w:b/>
          <w:sz w:val="24"/>
          <w:szCs w:val="24"/>
        </w:rPr>
        <w:t xml:space="preserve"> Archetype</w:t>
      </w:r>
    </w:p>
    <w:p w14:paraId="3711E016" w14:textId="2D42A07D" w:rsidR="00992FFF" w:rsidRPr="00E24B78" w:rsidRDefault="00BE5B0B" w:rsidP="00E24B78">
      <w:pPr>
        <w:jc w:val="both"/>
        <w:rPr>
          <w:rFonts w:ascii="Souvenir Lt BT" w:hAnsi="Souvenir Lt BT"/>
          <w:sz w:val="24"/>
          <w:szCs w:val="24"/>
        </w:rPr>
      </w:pPr>
      <w:r w:rsidRPr="00E24B78">
        <w:rPr>
          <w:rFonts w:ascii="Souvenir Lt BT" w:hAnsi="Souvenir Lt BT"/>
          <w:sz w:val="24"/>
          <w:szCs w:val="24"/>
        </w:rPr>
        <w:t>In the Request-Response service interaction flow archetype, the information flow</w:t>
      </w:r>
      <w:r w:rsidR="008963B0" w:rsidRPr="00E24B78">
        <w:rPr>
          <w:rFonts w:ascii="Souvenir Lt BT" w:hAnsi="Souvenir Lt BT"/>
          <w:sz w:val="24"/>
          <w:szCs w:val="24"/>
        </w:rPr>
        <w:t xml:space="preserve"> begins with a practitioner’s request for procedural action (e.g., requesting a warrant) or for some change in the state of the world (e.g., updating status of compliance with an offender’s terms of sentence).  The composite </w:t>
      </w:r>
      <w:r w:rsidRPr="00E24B78">
        <w:rPr>
          <w:rFonts w:ascii="Souvenir Lt BT" w:hAnsi="Souvenir Lt BT"/>
          <w:sz w:val="24"/>
          <w:szCs w:val="24"/>
        </w:rPr>
        <w:t xml:space="preserve">[intermediary] </w:t>
      </w:r>
      <w:r w:rsidR="008963B0" w:rsidRPr="00E24B78">
        <w:rPr>
          <w:rFonts w:ascii="Souvenir Lt BT" w:hAnsi="Souvenir Lt BT"/>
          <w:sz w:val="24"/>
          <w:szCs w:val="24"/>
        </w:rPr>
        <w:t xml:space="preserve">response under this archetype, much like the composite response in the </w:t>
      </w:r>
      <w:r w:rsidR="004C40AC" w:rsidRPr="00E24B78">
        <w:rPr>
          <w:rFonts w:ascii="Souvenir Lt BT" w:hAnsi="Souvenir Lt BT"/>
          <w:sz w:val="24"/>
          <w:szCs w:val="24"/>
        </w:rPr>
        <w:t>Event-Driven</w:t>
      </w:r>
      <w:r w:rsidR="008963B0" w:rsidRPr="00E24B78">
        <w:rPr>
          <w:rFonts w:ascii="Souvenir Lt BT" w:hAnsi="Souvenir Lt BT"/>
          <w:sz w:val="24"/>
          <w:szCs w:val="24"/>
        </w:rPr>
        <w:t xml:space="preserve"> archetype, represents the enterprise response or handling of the request.</w:t>
      </w:r>
      <w:r w:rsidR="00992FFF" w:rsidRPr="00E24B78">
        <w:rPr>
          <w:rFonts w:ascii="Souvenir Lt BT" w:hAnsi="Souvenir Lt BT"/>
          <w:sz w:val="24"/>
          <w:szCs w:val="24"/>
        </w:rPr>
        <w:t xml:space="preserve">  Note that the component response can also trigger a subsequent Event that would follow the Event-Driven Service Interaction Process Model shown above.</w:t>
      </w:r>
    </w:p>
    <w:p w14:paraId="72B81896" w14:textId="7A38A3A5" w:rsidR="00EC5144" w:rsidRDefault="00DD4C88" w:rsidP="00E62BB2">
      <w:pPr>
        <w:autoSpaceDE w:val="0"/>
        <w:autoSpaceDN w:val="0"/>
        <w:jc w:val="center"/>
        <w:rPr>
          <w:rFonts w:ascii="Times New Roman" w:hAnsi="Times New Roman" w:cs="Times New Roman"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Cs/>
          <w:noProof/>
          <w:color w:val="000000"/>
          <w:sz w:val="23"/>
          <w:szCs w:val="23"/>
        </w:rPr>
        <w:lastRenderedPageBreak/>
        <w:drawing>
          <wp:inline distT="0" distB="0" distL="0" distR="0" wp14:anchorId="69EAE7DA" wp14:editId="038A5A72">
            <wp:extent cx="5788856" cy="6675120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quest-Driven Service Interaction Process Model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88856" cy="6675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0B43EF" w14:textId="480B1460" w:rsidR="00031A68" w:rsidRDefault="00031A68" w:rsidP="000577E3">
      <w:pPr>
        <w:autoSpaceDE w:val="0"/>
        <w:autoSpaceDN w:val="0"/>
        <w:jc w:val="center"/>
        <w:rPr>
          <w:rFonts w:ascii="Times New Roman" w:hAnsi="Times New Roman" w:cs="Times New Roman"/>
          <w:bCs/>
          <w:color w:val="000000"/>
          <w:sz w:val="23"/>
          <w:szCs w:val="23"/>
        </w:rPr>
      </w:pPr>
      <w:bookmarkStart w:id="4" w:name="_Toc339380652"/>
    </w:p>
    <w:p w14:paraId="28BBF800" w14:textId="418B34B7" w:rsidR="00862C2B" w:rsidRPr="00992FFF" w:rsidRDefault="00CA753C" w:rsidP="00992FFF">
      <w:pPr>
        <w:pStyle w:val="Heading1"/>
      </w:pPr>
      <w:r>
        <w:br w:type="page"/>
      </w:r>
      <w:r w:rsidR="00862C2B">
        <w:lastRenderedPageBreak/>
        <w:t>Query-</w:t>
      </w:r>
      <w:r w:rsidR="004C40AC">
        <w:t>Response</w:t>
      </w:r>
      <w:r w:rsidR="00862C2B">
        <w:t xml:space="preserve"> </w:t>
      </w:r>
      <w:r w:rsidR="008D645E">
        <w:t xml:space="preserve">Service Interaction Process </w:t>
      </w:r>
      <w:r w:rsidR="00862C2B">
        <w:t>Model</w:t>
      </w:r>
      <w:bookmarkEnd w:id="4"/>
    </w:p>
    <w:p w14:paraId="1C110EF4" w14:textId="77777777" w:rsidR="00EC5144" w:rsidRPr="00E24B78" w:rsidRDefault="00EC5144" w:rsidP="00E24B78">
      <w:pPr>
        <w:autoSpaceDE w:val="0"/>
        <w:autoSpaceDN w:val="0"/>
        <w:jc w:val="both"/>
        <w:rPr>
          <w:rFonts w:ascii="Souvenir Lt BT" w:hAnsi="Souvenir Lt BT" w:cs="Times New Roman"/>
          <w:bCs/>
          <w:color w:val="000000"/>
          <w:sz w:val="24"/>
          <w:szCs w:val="24"/>
        </w:rPr>
      </w:pPr>
    </w:p>
    <w:p w14:paraId="45047ED5" w14:textId="7BC0AA79" w:rsidR="0029744F" w:rsidRPr="00E24B78" w:rsidRDefault="0029744F" w:rsidP="00E24B78">
      <w:pPr>
        <w:autoSpaceDE w:val="0"/>
        <w:autoSpaceDN w:val="0"/>
        <w:jc w:val="both"/>
        <w:rPr>
          <w:rFonts w:ascii="Souvenir Lt BT" w:hAnsi="Souvenir Lt BT" w:cs="Times New Roman"/>
          <w:bCs/>
          <w:color w:val="000000"/>
          <w:sz w:val="24"/>
          <w:szCs w:val="24"/>
        </w:rPr>
      </w:pPr>
      <w:r w:rsidRPr="00E24B78">
        <w:rPr>
          <w:rFonts w:ascii="Souvenir Lt BT" w:hAnsi="Souvenir Lt BT"/>
          <w:b/>
          <w:sz w:val="24"/>
          <w:szCs w:val="24"/>
        </w:rPr>
        <w:t>Query-Response Archetype</w:t>
      </w:r>
    </w:p>
    <w:p w14:paraId="49A31D03" w14:textId="713112E9" w:rsidR="00307DC5" w:rsidRPr="00E24B78" w:rsidRDefault="0002301F" w:rsidP="00E24B78">
      <w:pPr>
        <w:jc w:val="both"/>
        <w:rPr>
          <w:rFonts w:ascii="Souvenir Lt BT" w:hAnsi="Souvenir Lt BT"/>
          <w:sz w:val="24"/>
          <w:szCs w:val="24"/>
        </w:rPr>
      </w:pPr>
      <w:r w:rsidRPr="00E24B78">
        <w:rPr>
          <w:rFonts w:ascii="Souvenir Lt BT" w:hAnsi="Souvenir Lt BT"/>
          <w:sz w:val="24"/>
          <w:szCs w:val="24"/>
        </w:rPr>
        <w:t>In the Query</w:t>
      </w:r>
      <w:r w:rsidR="00BE5B0B" w:rsidRPr="00E24B78">
        <w:rPr>
          <w:rFonts w:ascii="Souvenir Lt BT" w:hAnsi="Souvenir Lt BT"/>
          <w:sz w:val="24"/>
          <w:szCs w:val="24"/>
        </w:rPr>
        <w:t>-Response service interaction flow archetype, the i</w:t>
      </w:r>
      <w:r w:rsidRPr="00E24B78">
        <w:rPr>
          <w:rFonts w:ascii="Souvenir Lt BT" w:hAnsi="Souvenir Lt BT"/>
          <w:sz w:val="24"/>
          <w:szCs w:val="24"/>
        </w:rPr>
        <w:t xml:space="preserve">nformation flow </w:t>
      </w:r>
      <w:r w:rsidR="00CA753C" w:rsidRPr="00E24B78">
        <w:rPr>
          <w:rFonts w:ascii="Souvenir Lt BT" w:hAnsi="Souvenir Lt BT"/>
          <w:sz w:val="24"/>
          <w:szCs w:val="24"/>
        </w:rPr>
        <w:t xml:space="preserve">begins with a practitioner’s or citizen’s desire to </w:t>
      </w:r>
      <w:r w:rsidR="00B82846">
        <w:rPr>
          <w:rFonts w:ascii="Souvenir Lt BT" w:hAnsi="Souvenir Lt BT"/>
          <w:sz w:val="24"/>
          <w:szCs w:val="24"/>
        </w:rPr>
        <w:t>have</w:t>
      </w:r>
      <w:r w:rsidR="00CA753C" w:rsidRPr="00E24B78">
        <w:rPr>
          <w:rFonts w:ascii="Souvenir Lt BT" w:hAnsi="Souvenir Lt BT"/>
          <w:sz w:val="24"/>
          <w:szCs w:val="24"/>
        </w:rPr>
        <w:t xml:space="preserve"> information about the state or history of the justice system (including events that occurred and any responses to those events).  The composite </w:t>
      </w:r>
      <w:r w:rsidR="006375D9" w:rsidRPr="00E24B78">
        <w:rPr>
          <w:rFonts w:ascii="Souvenir Lt BT" w:hAnsi="Souvenir Lt BT"/>
          <w:sz w:val="24"/>
          <w:szCs w:val="24"/>
        </w:rPr>
        <w:t xml:space="preserve">[intermediary] </w:t>
      </w:r>
      <w:r w:rsidR="00CA753C" w:rsidRPr="00E24B78">
        <w:rPr>
          <w:rFonts w:ascii="Souvenir Lt BT" w:hAnsi="Souvenir Lt BT"/>
          <w:sz w:val="24"/>
          <w:szCs w:val="24"/>
        </w:rPr>
        <w:t>response</w:t>
      </w:r>
      <w:r w:rsidR="006375D9" w:rsidRPr="00E24B78">
        <w:rPr>
          <w:rFonts w:ascii="Souvenir Lt BT" w:hAnsi="Souvenir Lt BT"/>
          <w:sz w:val="24"/>
          <w:szCs w:val="24"/>
        </w:rPr>
        <w:t xml:space="preserve"> </w:t>
      </w:r>
      <w:r w:rsidR="00CA753C" w:rsidRPr="00E24B78">
        <w:rPr>
          <w:rFonts w:ascii="Souvenir Lt BT" w:hAnsi="Souvenir Lt BT"/>
          <w:sz w:val="24"/>
          <w:szCs w:val="24"/>
        </w:rPr>
        <w:t>under this archetype represents the enterprise effort to gather the requested information from one or more component</w:t>
      </w:r>
      <w:r w:rsidR="00760D36" w:rsidRPr="00E24B78">
        <w:rPr>
          <w:rFonts w:ascii="Souvenir Lt BT" w:hAnsi="Souvenir Lt BT"/>
          <w:sz w:val="24"/>
          <w:szCs w:val="24"/>
        </w:rPr>
        <w:t xml:space="preserve"> [Responding Entity]</w:t>
      </w:r>
      <w:r w:rsidR="00CA753C" w:rsidRPr="00E24B78">
        <w:rPr>
          <w:rFonts w:ascii="Souvenir Lt BT" w:hAnsi="Souvenir Lt BT"/>
          <w:sz w:val="24"/>
          <w:szCs w:val="24"/>
        </w:rPr>
        <w:t xml:space="preserve"> data sources and assemble the component responses into a single, ente</w:t>
      </w:r>
      <w:r w:rsidR="00523CE1" w:rsidRPr="00E24B78">
        <w:rPr>
          <w:rFonts w:ascii="Souvenir Lt BT" w:hAnsi="Souvenir Lt BT"/>
          <w:sz w:val="24"/>
          <w:szCs w:val="24"/>
        </w:rPr>
        <w:t>rprise response to the Querying Entity</w:t>
      </w:r>
      <w:r w:rsidR="00CA753C" w:rsidRPr="00E24B78">
        <w:rPr>
          <w:rFonts w:ascii="Souvenir Lt BT" w:hAnsi="Souvenir Lt BT"/>
          <w:sz w:val="24"/>
          <w:szCs w:val="24"/>
        </w:rPr>
        <w:t>.</w:t>
      </w:r>
    </w:p>
    <w:p w14:paraId="119CC898" w14:textId="77777777" w:rsidR="00307DC5" w:rsidRDefault="00307DC5" w:rsidP="00CA753C"/>
    <w:p w14:paraId="1C137D5B" w14:textId="64B0B7D0" w:rsidR="009F0B5F" w:rsidRDefault="007B23CB" w:rsidP="000577E3">
      <w:pPr>
        <w:autoSpaceDE w:val="0"/>
        <w:autoSpaceDN w:val="0"/>
        <w:jc w:val="center"/>
        <w:rPr>
          <w:rFonts w:ascii="Times New Roman" w:hAnsi="Times New Roman" w:cs="Times New Roman"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Cs/>
          <w:noProof/>
          <w:color w:val="000000"/>
          <w:sz w:val="23"/>
          <w:szCs w:val="23"/>
        </w:rPr>
        <w:drawing>
          <wp:inline distT="0" distB="0" distL="0" distR="0" wp14:anchorId="6A889C46" wp14:editId="47BD2A3A">
            <wp:extent cx="5067300" cy="5301717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uery-Driven Service Process Model.jp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67300" cy="53017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B0B1E9" w14:textId="77777777" w:rsidR="00A7199E" w:rsidRDefault="00A7199E" w:rsidP="009F0B5F">
      <w:pPr>
        <w:autoSpaceDE w:val="0"/>
        <w:autoSpaceDN w:val="0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0CA63142" w14:textId="77777777" w:rsidR="00A7199E" w:rsidRDefault="00A7199E" w:rsidP="009F0B5F">
      <w:pPr>
        <w:autoSpaceDE w:val="0"/>
        <w:autoSpaceDN w:val="0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3F09C737" w14:textId="77777777" w:rsidR="00992FFF" w:rsidRDefault="00992FFF" w:rsidP="00CA753C">
      <w:pPr>
        <w:shd w:val="clear" w:color="auto" w:fill="FFFFFF"/>
        <w:autoSpaceDE w:val="0"/>
        <w:autoSpaceDN w:val="0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752C6224" w14:textId="77777777" w:rsidR="00992FFF" w:rsidRDefault="00992FFF" w:rsidP="00CA753C">
      <w:pPr>
        <w:shd w:val="clear" w:color="auto" w:fill="FFFFFF"/>
        <w:autoSpaceDE w:val="0"/>
        <w:autoSpaceDN w:val="0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3E9836A6" w14:textId="21206334" w:rsidR="00CA753C" w:rsidRPr="00E24B78" w:rsidRDefault="00523CE1" w:rsidP="00E24B78">
      <w:pPr>
        <w:shd w:val="clear" w:color="auto" w:fill="FFFFFF"/>
        <w:autoSpaceDE w:val="0"/>
        <w:autoSpaceDN w:val="0"/>
        <w:jc w:val="both"/>
        <w:rPr>
          <w:rFonts w:ascii="Souvenir Lt BT" w:hAnsi="Souvenir Lt BT" w:cs="Times New Roman"/>
          <w:color w:val="000000"/>
          <w:sz w:val="24"/>
          <w:szCs w:val="24"/>
          <w:shd w:val="clear" w:color="auto" w:fill="FFFFFF"/>
        </w:rPr>
      </w:pPr>
      <w:r w:rsidRPr="00E24B78">
        <w:rPr>
          <w:rFonts w:ascii="Souvenir Lt BT" w:hAnsi="Souvenir Lt BT" w:cs="Times New Roman"/>
          <w:color w:val="000000"/>
          <w:sz w:val="24"/>
          <w:szCs w:val="24"/>
          <w:shd w:val="clear" w:color="auto" w:fill="FFFFFF"/>
        </w:rPr>
        <w:lastRenderedPageBreak/>
        <w:t>Typical query “Types” for the Query-Response archetype have been identified as follows.  These Query “Types” can be substituted in the Query-Response archetype model above for “Query</w:t>
      </w:r>
      <w:r w:rsidR="00B82846">
        <w:rPr>
          <w:rFonts w:ascii="Souvenir Lt BT" w:hAnsi="Souvenir Lt BT" w:cs="Times New Roman"/>
          <w:color w:val="000000"/>
          <w:sz w:val="24"/>
          <w:szCs w:val="24"/>
          <w:shd w:val="clear" w:color="auto" w:fill="FFFFFF"/>
        </w:rPr>
        <w:t>.”</w:t>
      </w:r>
      <w:r w:rsidRPr="00E24B78">
        <w:rPr>
          <w:rFonts w:ascii="Souvenir Lt BT" w:hAnsi="Souvenir Lt BT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14:paraId="457D431C" w14:textId="77777777" w:rsidR="00EC5144" w:rsidRPr="00E24B78" w:rsidRDefault="00EC5144" w:rsidP="00E24B78">
      <w:pPr>
        <w:shd w:val="clear" w:color="auto" w:fill="FFFFFF"/>
        <w:autoSpaceDE w:val="0"/>
        <w:autoSpaceDN w:val="0"/>
        <w:jc w:val="both"/>
        <w:rPr>
          <w:rFonts w:ascii="Souvenir Lt BT" w:hAnsi="Souvenir Lt BT" w:cs="Times New Roman"/>
          <w:color w:val="000000"/>
          <w:sz w:val="24"/>
          <w:szCs w:val="24"/>
          <w:shd w:val="clear" w:color="auto" w:fill="FFFFFF"/>
        </w:rPr>
      </w:pPr>
    </w:p>
    <w:p w14:paraId="267C7862" w14:textId="77777777" w:rsidR="009845BE" w:rsidRDefault="009845BE" w:rsidP="00597770">
      <w:pPr>
        <w:shd w:val="clear" w:color="auto" w:fill="FFFFFF"/>
        <w:autoSpaceDE w:val="0"/>
        <w:autoSpaceDN w:val="0"/>
        <w:rPr>
          <w:rFonts w:ascii="Times New Roman" w:hAnsi="Times New Roman" w:cs="Times New Roman"/>
          <w:color w:val="000000"/>
          <w:shd w:val="clear" w:color="auto" w:fill="FFFFFF"/>
        </w:rPr>
      </w:pPr>
    </w:p>
    <w:tbl>
      <w:tblPr>
        <w:tblW w:w="937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5"/>
        <w:gridCol w:w="4680"/>
        <w:gridCol w:w="2790"/>
      </w:tblGrid>
      <w:tr w:rsidR="00E140B2" w14:paraId="38B2DD59" w14:textId="77777777" w:rsidTr="00E24B78">
        <w:trPr>
          <w:trHeight w:val="420"/>
        </w:trPr>
        <w:tc>
          <w:tcPr>
            <w:tcW w:w="1905" w:type="dxa"/>
            <w:vAlign w:val="center"/>
            <w:hideMark/>
          </w:tcPr>
          <w:p w14:paraId="6F8DFB8D" w14:textId="497C7C19" w:rsidR="00E140B2" w:rsidRPr="00E24B78" w:rsidRDefault="007B23CB" w:rsidP="00E24B78">
            <w:pPr>
              <w:jc w:val="center"/>
              <w:rPr>
                <w:rFonts w:ascii="Souvenir Lt BT" w:eastAsia="Times New Roman" w:hAnsi="Souvenir Lt BT" w:cs="Times New Roman"/>
                <w:b/>
                <w:bCs/>
                <w:sz w:val="24"/>
                <w:szCs w:val="24"/>
              </w:rPr>
            </w:pPr>
            <w:r w:rsidRPr="00E24B78">
              <w:rPr>
                <w:rFonts w:ascii="Souvenir Lt BT" w:eastAsia="Times New Roman" w:hAnsi="Souvenir Lt BT" w:cs="Times New Roman"/>
                <w:b/>
                <w:bCs/>
                <w:sz w:val="24"/>
                <w:szCs w:val="24"/>
              </w:rPr>
              <w:t>Query “Types”</w:t>
            </w:r>
          </w:p>
        </w:tc>
        <w:tc>
          <w:tcPr>
            <w:tcW w:w="4680" w:type="dxa"/>
            <w:vAlign w:val="center"/>
            <w:hideMark/>
          </w:tcPr>
          <w:p w14:paraId="34F84796" w14:textId="77777777" w:rsidR="00E140B2" w:rsidRPr="00E24B78" w:rsidRDefault="00E140B2" w:rsidP="00E24B78">
            <w:pPr>
              <w:jc w:val="center"/>
              <w:rPr>
                <w:rFonts w:ascii="Souvenir Lt BT" w:eastAsia="Times New Roman" w:hAnsi="Souvenir Lt BT" w:cs="Times New Roman"/>
                <w:b/>
                <w:bCs/>
                <w:sz w:val="24"/>
                <w:szCs w:val="24"/>
              </w:rPr>
            </w:pPr>
            <w:r w:rsidRPr="00E24B78">
              <w:rPr>
                <w:rFonts w:ascii="Souvenir Lt BT" w:eastAsia="Times New Roman" w:hAnsi="Souvenir Lt BT" w:cs="Times New Roman"/>
                <w:b/>
                <w:bCs/>
                <w:sz w:val="24"/>
                <w:szCs w:val="24"/>
              </w:rPr>
              <w:t>Description</w:t>
            </w:r>
          </w:p>
        </w:tc>
        <w:tc>
          <w:tcPr>
            <w:tcW w:w="2790" w:type="dxa"/>
            <w:vAlign w:val="center"/>
            <w:hideMark/>
          </w:tcPr>
          <w:p w14:paraId="33DF069B" w14:textId="77777777" w:rsidR="00E140B2" w:rsidRPr="00E24B78" w:rsidRDefault="00E140B2" w:rsidP="00E24B78">
            <w:pPr>
              <w:jc w:val="center"/>
              <w:rPr>
                <w:rFonts w:ascii="Souvenir Lt BT" w:eastAsia="Times New Roman" w:hAnsi="Souvenir Lt BT" w:cs="Times New Roman"/>
                <w:b/>
                <w:bCs/>
                <w:sz w:val="24"/>
                <w:szCs w:val="24"/>
              </w:rPr>
            </w:pPr>
            <w:r w:rsidRPr="00E24B78">
              <w:rPr>
                <w:rFonts w:ascii="Souvenir Lt BT" w:eastAsia="Times New Roman" w:hAnsi="Souvenir Lt BT" w:cs="Times New Roman"/>
                <w:b/>
                <w:bCs/>
                <w:sz w:val="24"/>
                <w:szCs w:val="24"/>
              </w:rPr>
              <w:t>Examples</w:t>
            </w:r>
          </w:p>
        </w:tc>
      </w:tr>
      <w:tr w:rsidR="00E140B2" w14:paraId="458A95C1" w14:textId="77777777" w:rsidTr="0063525F">
        <w:trPr>
          <w:trHeight w:val="1095"/>
        </w:trPr>
        <w:tc>
          <w:tcPr>
            <w:tcW w:w="1905" w:type="dxa"/>
          </w:tcPr>
          <w:p w14:paraId="35AD9342" w14:textId="709FDC16" w:rsidR="00E140B2" w:rsidRPr="00E24B78" w:rsidRDefault="00E140B2" w:rsidP="00E24B78">
            <w:pPr>
              <w:rPr>
                <w:rFonts w:ascii="Souvenir Lt BT" w:eastAsia="Times New Roman" w:hAnsi="Souvenir Lt BT" w:cs="Times New Roman"/>
                <w:b/>
                <w:bCs/>
                <w:sz w:val="24"/>
                <w:szCs w:val="24"/>
              </w:rPr>
            </w:pPr>
            <w:r w:rsidRPr="00E24B78">
              <w:rPr>
                <w:rFonts w:ascii="Souvenir Lt BT" w:eastAsia="Times New Roman" w:hAnsi="Souvenir Lt BT" w:cs="Times New Roman"/>
                <w:b/>
                <w:bCs/>
                <w:sz w:val="24"/>
                <w:szCs w:val="24"/>
              </w:rPr>
              <w:t>Query</w:t>
            </w:r>
          </w:p>
        </w:tc>
        <w:tc>
          <w:tcPr>
            <w:tcW w:w="4680" w:type="dxa"/>
          </w:tcPr>
          <w:p w14:paraId="5EF724F7" w14:textId="728A9369" w:rsidR="00E140B2" w:rsidRPr="00E24B78" w:rsidRDefault="0063525F" w:rsidP="00E24B78">
            <w:pPr>
              <w:rPr>
                <w:rFonts w:ascii="Souvenir Lt BT" w:eastAsia="Times New Roman" w:hAnsi="Souvenir Lt BT" w:cs="Times New Roman"/>
                <w:sz w:val="24"/>
                <w:szCs w:val="24"/>
              </w:rPr>
            </w:pPr>
            <w:r w:rsidRPr="00E24B78">
              <w:rPr>
                <w:rFonts w:ascii="Souvenir Lt BT" w:eastAsia="Times New Roman" w:hAnsi="Souvenir Lt BT" w:cs="Times New Roman"/>
                <w:sz w:val="24"/>
                <w:szCs w:val="24"/>
              </w:rPr>
              <w:t>A search for information on a specific/unique subject (person, place, or thing).  The input to a query is some kind of unique record identifier (generally obtained from doing a prior search).  The output of a query</w:t>
            </w:r>
            <w:r w:rsidR="00523CE1" w:rsidRPr="00E24B78">
              <w:rPr>
                <w:rFonts w:ascii="Souvenir Lt BT" w:eastAsia="Times New Roman" w:hAnsi="Souvenir Lt BT" w:cs="Times New Roman"/>
                <w:sz w:val="24"/>
                <w:szCs w:val="24"/>
              </w:rPr>
              <w:t>. From the Responding Entity,</w:t>
            </w:r>
            <w:r w:rsidRPr="00E24B78">
              <w:rPr>
                <w:rFonts w:ascii="Souvenir Lt BT" w:eastAsia="Times New Roman" w:hAnsi="Souvenir Lt BT" w:cs="Times New Roman"/>
                <w:sz w:val="24"/>
                <w:szCs w:val="24"/>
              </w:rPr>
              <w:t xml:space="preserve"> </w:t>
            </w:r>
            <w:r w:rsidR="00B82846">
              <w:rPr>
                <w:rFonts w:ascii="Souvenir Lt BT" w:eastAsia="Times New Roman" w:hAnsi="Souvenir Lt BT" w:cs="Times New Roman"/>
                <w:sz w:val="24"/>
                <w:szCs w:val="24"/>
              </w:rPr>
              <w:t xml:space="preserve">it </w:t>
            </w:r>
            <w:r w:rsidR="00523CE1" w:rsidRPr="00E24B78">
              <w:rPr>
                <w:rFonts w:ascii="Souvenir Lt BT" w:eastAsia="Times New Roman" w:hAnsi="Souvenir Lt BT" w:cs="Times New Roman"/>
                <w:sz w:val="24"/>
                <w:szCs w:val="24"/>
              </w:rPr>
              <w:t>is at most one detailed record.</w:t>
            </w:r>
          </w:p>
        </w:tc>
        <w:tc>
          <w:tcPr>
            <w:tcW w:w="2790" w:type="dxa"/>
          </w:tcPr>
          <w:p w14:paraId="4A51F757" w14:textId="5AEB6B27" w:rsidR="00E140B2" w:rsidRPr="00E24B78" w:rsidRDefault="0063525F" w:rsidP="00E24B78">
            <w:pPr>
              <w:rPr>
                <w:rFonts w:ascii="Souvenir Lt BT" w:eastAsia="Times New Roman" w:hAnsi="Souvenir Lt BT" w:cs="Times New Roman"/>
                <w:sz w:val="24"/>
                <w:szCs w:val="24"/>
              </w:rPr>
            </w:pPr>
            <w:r w:rsidRPr="00E24B78">
              <w:rPr>
                <w:rFonts w:ascii="Souvenir Lt BT" w:eastAsia="Times New Roman" w:hAnsi="Souvenir Lt BT" w:cs="Times New Roman"/>
                <w:i/>
                <w:sz w:val="24"/>
                <w:szCs w:val="24"/>
              </w:rPr>
              <w:t xml:space="preserve">Query </w:t>
            </w:r>
            <w:r w:rsidRPr="00E24B78">
              <w:rPr>
                <w:rFonts w:ascii="Souvenir Lt BT" w:eastAsia="Times New Roman" w:hAnsi="Souvenir Lt BT" w:cs="Times New Roman"/>
                <w:sz w:val="24"/>
                <w:szCs w:val="24"/>
              </w:rPr>
              <w:t>firearm registration</w:t>
            </w:r>
          </w:p>
        </w:tc>
      </w:tr>
      <w:tr w:rsidR="00E140B2" w14:paraId="2C844CFC" w14:textId="77777777" w:rsidTr="0063525F">
        <w:trPr>
          <w:trHeight w:val="1095"/>
        </w:trPr>
        <w:tc>
          <w:tcPr>
            <w:tcW w:w="1905" w:type="dxa"/>
            <w:hideMark/>
          </w:tcPr>
          <w:p w14:paraId="4EE72087" w14:textId="7EE30166" w:rsidR="00E140B2" w:rsidRPr="00E24B78" w:rsidRDefault="00E140B2" w:rsidP="00E24B78">
            <w:pPr>
              <w:rPr>
                <w:rFonts w:ascii="Souvenir Lt BT" w:eastAsia="Times New Roman" w:hAnsi="Souvenir Lt BT" w:cs="Times New Roman"/>
                <w:b/>
                <w:bCs/>
                <w:sz w:val="24"/>
                <w:szCs w:val="24"/>
              </w:rPr>
            </w:pPr>
            <w:r w:rsidRPr="00E24B78">
              <w:rPr>
                <w:rFonts w:ascii="Souvenir Lt BT" w:eastAsia="Times New Roman" w:hAnsi="Souvenir Lt BT" w:cs="Times New Roman"/>
                <w:b/>
                <w:bCs/>
                <w:sz w:val="24"/>
                <w:szCs w:val="24"/>
              </w:rPr>
              <w:t>Search</w:t>
            </w:r>
            <w:r w:rsidR="0063525F" w:rsidRPr="00E24B78">
              <w:rPr>
                <w:rFonts w:ascii="Souvenir Lt BT" w:eastAsia="Times New Roman" w:hAnsi="Souvenir Lt BT" w:cs="Times New Roman"/>
                <w:b/>
                <w:bCs/>
                <w:sz w:val="24"/>
                <w:szCs w:val="24"/>
              </w:rPr>
              <w:t xml:space="preserve"> or Federated Search</w:t>
            </w:r>
          </w:p>
          <w:p w14:paraId="4AE22392" w14:textId="3FCB2311" w:rsidR="00E140B2" w:rsidRPr="00E24B78" w:rsidRDefault="00E140B2" w:rsidP="00E24B78">
            <w:pPr>
              <w:rPr>
                <w:rFonts w:ascii="Souvenir Lt BT" w:eastAsia="Times New Roman" w:hAnsi="Souvenir Lt BT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80" w:type="dxa"/>
            <w:hideMark/>
          </w:tcPr>
          <w:p w14:paraId="607B7493" w14:textId="7391B853" w:rsidR="00E140B2" w:rsidRPr="00E24B78" w:rsidRDefault="00E140B2" w:rsidP="00E24B78">
            <w:pPr>
              <w:rPr>
                <w:rFonts w:ascii="Souvenir Lt BT" w:eastAsia="Times New Roman" w:hAnsi="Souvenir Lt BT" w:cs="Times New Roman"/>
                <w:sz w:val="24"/>
                <w:szCs w:val="24"/>
              </w:rPr>
            </w:pPr>
            <w:r w:rsidRPr="00E24B78">
              <w:rPr>
                <w:rFonts w:ascii="Souvenir Lt BT" w:eastAsia="Times New Roman" w:hAnsi="Souvenir Lt BT" w:cs="Times New Roman"/>
                <w:sz w:val="24"/>
                <w:szCs w:val="24"/>
              </w:rPr>
              <w:t xml:space="preserve">A search for information on a subject (person, place, or </w:t>
            </w:r>
            <w:r w:rsidR="0063525F" w:rsidRPr="00E24B78">
              <w:rPr>
                <w:rFonts w:ascii="Souvenir Lt BT" w:eastAsia="Times New Roman" w:hAnsi="Souvenir Lt BT" w:cs="Times New Roman"/>
                <w:sz w:val="24"/>
                <w:szCs w:val="24"/>
              </w:rPr>
              <w:t>thing) based on ad hoc parameters that return more than one possible match</w:t>
            </w:r>
            <w:r w:rsidR="00523CE1" w:rsidRPr="00E24B78">
              <w:rPr>
                <w:rFonts w:ascii="Souvenir Lt BT" w:eastAsia="Times New Roman" w:hAnsi="Souvenir Lt BT" w:cs="Times New Roman"/>
                <w:sz w:val="24"/>
                <w:szCs w:val="24"/>
              </w:rPr>
              <w:t xml:space="preserve"> from a Responding Entity.</w:t>
            </w:r>
          </w:p>
        </w:tc>
        <w:tc>
          <w:tcPr>
            <w:tcW w:w="2790" w:type="dxa"/>
            <w:hideMark/>
          </w:tcPr>
          <w:p w14:paraId="7B3411C0" w14:textId="43F60ACC" w:rsidR="00E140B2" w:rsidRPr="00E24B78" w:rsidRDefault="00E140B2" w:rsidP="00E24B78">
            <w:pPr>
              <w:rPr>
                <w:rFonts w:ascii="Souvenir Lt BT" w:eastAsia="Times New Roman" w:hAnsi="Souvenir Lt BT" w:cs="Times New Roman"/>
                <w:sz w:val="24"/>
                <w:szCs w:val="24"/>
              </w:rPr>
            </w:pPr>
            <w:r w:rsidRPr="00E24B78">
              <w:rPr>
                <w:rFonts w:ascii="Souvenir Lt BT" w:eastAsia="Times New Roman" w:hAnsi="Souvenir Lt BT" w:cs="Times New Roman"/>
                <w:i/>
                <w:sz w:val="24"/>
                <w:szCs w:val="24"/>
              </w:rPr>
              <w:t>Search</w:t>
            </w:r>
            <w:r w:rsidRPr="00E24B78">
              <w:rPr>
                <w:rFonts w:ascii="Souvenir Lt BT" w:eastAsia="Times New Roman" w:hAnsi="Souvenir Lt BT" w:cs="Times New Roman"/>
                <w:sz w:val="24"/>
                <w:szCs w:val="24"/>
              </w:rPr>
              <w:t xml:space="preserve"> Vehicle</w:t>
            </w:r>
            <w:r w:rsidR="0063525F" w:rsidRPr="00E24B78">
              <w:rPr>
                <w:rFonts w:ascii="Souvenir Lt BT" w:eastAsia="Times New Roman" w:hAnsi="Souvenir Lt BT" w:cs="Times New Roman"/>
                <w:sz w:val="24"/>
                <w:szCs w:val="24"/>
              </w:rPr>
              <w:t xml:space="preserve">; </w:t>
            </w:r>
            <w:r w:rsidR="0063525F" w:rsidRPr="00E24B78">
              <w:rPr>
                <w:rFonts w:ascii="Souvenir Lt BT" w:eastAsia="Times New Roman" w:hAnsi="Souvenir Lt BT" w:cs="Times New Roman"/>
                <w:i/>
                <w:sz w:val="24"/>
                <w:szCs w:val="24"/>
              </w:rPr>
              <w:t>Federated Person Search</w:t>
            </w:r>
          </w:p>
        </w:tc>
      </w:tr>
      <w:tr w:rsidR="00E140B2" w14:paraId="182F9907" w14:textId="77777777" w:rsidTr="00E24B78">
        <w:trPr>
          <w:trHeight w:val="800"/>
        </w:trPr>
        <w:tc>
          <w:tcPr>
            <w:tcW w:w="1905" w:type="dxa"/>
            <w:hideMark/>
          </w:tcPr>
          <w:p w14:paraId="70C49A9C" w14:textId="5DA1B18F" w:rsidR="00E140B2" w:rsidRPr="00E24B78" w:rsidRDefault="0063525F" w:rsidP="00E24B78">
            <w:pPr>
              <w:rPr>
                <w:rFonts w:ascii="Souvenir Lt BT" w:eastAsia="Times New Roman" w:hAnsi="Souvenir Lt BT" w:cs="Times New Roman"/>
                <w:b/>
                <w:bCs/>
                <w:sz w:val="24"/>
                <w:szCs w:val="24"/>
              </w:rPr>
            </w:pPr>
            <w:r w:rsidRPr="00E24B78">
              <w:rPr>
                <w:rFonts w:ascii="Souvenir Lt BT" w:eastAsia="Times New Roman" w:hAnsi="Souvenir Lt BT" w:cs="Times New Roman"/>
                <w:b/>
                <w:bCs/>
                <w:sz w:val="24"/>
                <w:szCs w:val="24"/>
              </w:rPr>
              <w:t>I</w:t>
            </w:r>
            <w:r w:rsidR="007B23CB" w:rsidRPr="00E24B78">
              <w:rPr>
                <w:rFonts w:ascii="Souvenir Lt BT" w:eastAsia="Times New Roman" w:hAnsi="Souvenir Lt BT" w:cs="Times New Roman"/>
                <w:b/>
                <w:bCs/>
                <w:sz w:val="24"/>
                <w:szCs w:val="24"/>
              </w:rPr>
              <w:t>dentification</w:t>
            </w:r>
          </w:p>
        </w:tc>
        <w:tc>
          <w:tcPr>
            <w:tcW w:w="4680" w:type="dxa"/>
            <w:hideMark/>
          </w:tcPr>
          <w:p w14:paraId="416C465D" w14:textId="494614F6" w:rsidR="00E140B2" w:rsidRPr="00E24B78" w:rsidRDefault="00E140B2" w:rsidP="00B82846">
            <w:pPr>
              <w:rPr>
                <w:rFonts w:ascii="Souvenir Lt BT" w:eastAsia="Times New Roman" w:hAnsi="Souvenir Lt BT" w:cs="Times New Roman"/>
                <w:sz w:val="24"/>
                <w:szCs w:val="24"/>
              </w:rPr>
            </w:pPr>
            <w:r w:rsidRPr="00E24B78">
              <w:rPr>
                <w:rFonts w:ascii="Souvenir Lt BT" w:eastAsia="Times New Roman" w:hAnsi="Souvenir Lt BT" w:cs="Times New Roman"/>
                <w:sz w:val="24"/>
                <w:szCs w:val="24"/>
              </w:rPr>
              <w:t>Identifying an individual base</w:t>
            </w:r>
            <w:r w:rsidR="00760D36" w:rsidRPr="00E24B78">
              <w:rPr>
                <w:rFonts w:ascii="Souvenir Lt BT" w:eastAsia="Times New Roman" w:hAnsi="Souvenir Lt BT" w:cs="Times New Roman"/>
                <w:sz w:val="24"/>
                <w:szCs w:val="24"/>
              </w:rPr>
              <w:t xml:space="preserve">d on comparison of </w:t>
            </w:r>
            <w:r w:rsidRPr="00E24B78">
              <w:rPr>
                <w:rFonts w:ascii="Souvenir Lt BT" w:eastAsia="Times New Roman" w:hAnsi="Souvenir Lt BT" w:cs="Times New Roman"/>
                <w:sz w:val="24"/>
                <w:szCs w:val="24"/>
              </w:rPr>
              <w:t>collected</w:t>
            </w:r>
            <w:r w:rsidR="00760D36" w:rsidRPr="00E24B78">
              <w:rPr>
                <w:rFonts w:ascii="Souvenir Lt BT" w:eastAsia="Times New Roman" w:hAnsi="Souvenir Lt BT" w:cs="Times New Roman"/>
                <w:sz w:val="24"/>
                <w:szCs w:val="24"/>
              </w:rPr>
              <w:t xml:space="preserve"> biometrics</w:t>
            </w:r>
            <w:r w:rsidRPr="00E24B78">
              <w:rPr>
                <w:rFonts w:ascii="Souvenir Lt BT" w:eastAsia="Times New Roman" w:hAnsi="Souvenir Lt BT" w:cs="Times New Roman"/>
                <w:sz w:val="24"/>
                <w:szCs w:val="24"/>
              </w:rPr>
              <w:t xml:space="preserve"> against a database of previously collected samples.</w:t>
            </w:r>
          </w:p>
        </w:tc>
        <w:tc>
          <w:tcPr>
            <w:tcW w:w="2790" w:type="dxa"/>
            <w:hideMark/>
          </w:tcPr>
          <w:p w14:paraId="71D422A4" w14:textId="77777777" w:rsidR="00E140B2" w:rsidRPr="00E24B78" w:rsidRDefault="00E140B2" w:rsidP="00E24B78">
            <w:pPr>
              <w:rPr>
                <w:rFonts w:ascii="Souvenir Lt BT" w:eastAsia="Times New Roman" w:hAnsi="Souvenir Lt BT" w:cs="Times New Roman"/>
                <w:sz w:val="24"/>
                <w:szCs w:val="24"/>
              </w:rPr>
            </w:pPr>
            <w:r w:rsidRPr="00E24B78">
              <w:rPr>
                <w:rFonts w:ascii="Souvenir Lt BT" w:eastAsia="Times New Roman" w:hAnsi="Souvenir Lt BT" w:cs="Times New Roman"/>
                <w:sz w:val="24"/>
                <w:szCs w:val="24"/>
              </w:rPr>
              <w:t xml:space="preserve">Identify </w:t>
            </w:r>
            <w:r w:rsidRPr="00E24B78">
              <w:rPr>
                <w:rFonts w:ascii="Souvenir Lt BT" w:eastAsia="Times New Roman" w:hAnsi="Souvenir Lt BT" w:cs="Times New Roman"/>
                <w:i/>
                <w:sz w:val="24"/>
                <w:szCs w:val="24"/>
              </w:rPr>
              <w:t>Person</w:t>
            </w:r>
            <w:r w:rsidRPr="00E24B78">
              <w:rPr>
                <w:rFonts w:ascii="Souvenir Lt BT" w:eastAsia="Times New Roman" w:hAnsi="Souvenir Lt BT" w:cs="Times New Roman"/>
                <w:sz w:val="24"/>
                <w:szCs w:val="24"/>
              </w:rPr>
              <w:t xml:space="preserve">, Identify </w:t>
            </w:r>
            <w:r w:rsidRPr="00E24B78">
              <w:rPr>
                <w:rFonts w:ascii="Souvenir Lt BT" w:eastAsia="Times New Roman" w:hAnsi="Souvenir Lt BT" w:cs="Times New Roman"/>
                <w:i/>
                <w:sz w:val="24"/>
                <w:szCs w:val="24"/>
              </w:rPr>
              <w:t>Organization</w:t>
            </w:r>
          </w:p>
        </w:tc>
      </w:tr>
      <w:tr w:rsidR="00E140B2" w14:paraId="459DF48B" w14:textId="77777777" w:rsidTr="0063525F">
        <w:trPr>
          <w:trHeight w:val="885"/>
        </w:trPr>
        <w:tc>
          <w:tcPr>
            <w:tcW w:w="1905" w:type="dxa"/>
            <w:hideMark/>
          </w:tcPr>
          <w:p w14:paraId="750E68DF" w14:textId="7F7C3E8B" w:rsidR="00E140B2" w:rsidRPr="00E24B78" w:rsidRDefault="0063525F" w:rsidP="00E24B78">
            <w:pPr>
              <w:rPr>
                <w:rFonts w:ascii="Souvenir Lt BT" w:eastAsia="Times New Roman" w:hAnsi="Souvenir Lt BT" w:cs="Times New Roman"/>
                <w:b/>
                <w:bCs/>
                <w:sz w:val="24"/>
                <w:szCs w:val="24"/>
              </w:rPr>
            </w:pPr>
            <w:r w:rsidRPr="00E24B78">
              <w:rPr>
                <w:rFonts w:ascii="Souvenir Lt BT" w:eastAsia="Times New Roman" w:hAnsi="Souvenir Lt BT" w:cs="Times New Roman"/>
                <w:b/>
                <w:bCs/>
                <w:sz w:val="24"/>
                <w:szCs w:val="24"/>
              </w:rPr>
              <w:t>Verif</w:t>
            </w:r>
            <w:r w:rsidR="007B23CB" w:rsidRPr="00E24B78">
              <w:rPr>
                <w:rFonts w:ascii="Souvenir Lt BT" w:eastAsia="Times New Roman" w:hAnsi="Souvenir Lt BT" w:cs="Times New Roman"/>
                <w:b/>
                <w:bCs/>
                <w:sz w:val="24"/>
                <w:szCs w:val="24"/>
              </w:rPr>
              <w:t>ication</w:t>
            </w:r>
          </w:p>
        </w:tc>
        <w:tc>
          <w:tcPr>
            <w:tcW w:w="4680" w:type="dxa"/>
            <w:hideMark/>
          </w:tcPr>
          <w:p w14:paraId="44DA3038" w14:textId="0EACB3BC" w:rsidR="00E140B2" w:rsidRPr="00E24B78" w:rsidRDefault="00E140B2" w:rsidP="00B82846">
            <w:pPr>
              <w:rPr>
                <w:rFonts w:ascii="Souvenir Lt BT" w:eastAsia="Times New Roman" w:hAnsi="Souvenir Lt BT" w:cs="Times New Roman"/>
                <w:sz w:val="24"/>
                <w:szCs w:val="24"/>
              </w:rPr>
            </w:pPr>
            <w:r w:rsidRPr="00E24B78">
              <w:rPr>
                <w:rFonts w:ascii="Souvenir Lt BT" w:eastAsia="Times New Roman" w:hAnsi="Souvenir Lt BT" w:cs="Times New Roman"/>
                <w:sz w:val="24"/>
                <w:szCs w:val="24"/>
              </w:rPr>
              <w:t>Verifying that an individual is the person that he</w:t>
            </w:r>
            <w:r w:rsidR="00B82846">
              <w:rPr>
                <w:rFonts w:ascii="Souvenir Lt BT" w:eastAsia="Times New Roman" w:hAnsi="Souvenir Lt BT" w:cs="Times New Roman"/>
                <w:sz w:val="24"/>
                <w:szCs w:val="24"/>
              </w:rPr>
              <w:t xml:space="preserve"> or she</w:t>
            </w:r>
            <w:r w:rsidRPr="00E24B78">
              <w:rPr>
                <w:rFonts w:ascii="Souvenir Lt BT" w:eastAsia="Times New Roman" w:hAnsi="Souvenir Lt BT" w:cs="Times New Roman"/>
                <w:sz w:val="24"/>
                <w:szCs w:val="24"/>
              </w:rPr>
              <w:t xml:space="preserve"> claim</w:t>
            </w:r>
            <w:r w:rsidR="00B82846">
              <w:rPr>
                <w:rFonts w:ascii="Souvenir Lt BT" w:eastAsia="Times New Roman" w:hAnsi="Souvenir Lt BT" w:cs="Times New Roman"/>
                <w:sz w:val="24"/>
                <w:szCs w:val="24"/>
              </w:rPr>
              <w:t>s</w:t>
            </w:r>
            <w:r w:rsidRPr="00E24B78">
              <w:rPr>
                <w:rFonts w:ascii="Souvenir Lt BT" w:eastAsia="Times New Roman" w:hAnsi="Souvenir Lt BT" w:cs="Times New Roman"/>
                <w:sz w:val="24"/>
                <w:szCs w:val="24"/>
              </w:rPr>
              <w:t xml:space="preserve"> to be, based on validating a sample collected against a previously collected biometric sample for the individual.</w:t>
            </w:r>
          </w:p>
        </w:tc>
        <w:tc>
          <w:tcPr>
            <w:tcW w:w="2790" w:type="dxa"/>
            <w:hideMark/>
          </w:tcPr>
          <w:p w14:paraId="01789BE8" w14:textId="1665C5F9" w:rsidR="00E140B2" w:rsidRPr="00E24B78" w:rsidRDefault="00E140B2" w:rsidP="00E24B78">
            <w:pPr>
              <w:rPr>
                <w:rFonts w:ascii="Souvenir Lt BT" w:eastAsia="Times New Roman" w:hAnsi="Souvenir Lt BT" w:cs="Times New Roman"/>
                <w:sz w:val="24"/>
                <w:szCs w:val="24"/>
              </w:rPr>
            </w:pPr>
            <w:r w:rsidRPr="00E24B78">
              <w:rPr>
                <w:rFonts w:ascii="Souvenir Lt BT" w:eastAsia="Times New Roman" w:hAnsi="Souvenir Lt BT" w:cs="Times New Roman"/>
                <w:sz w:val="24"/>
                <w:szCs w:val="24"/>
              </w:rPr>
              <w:t xml:space="preserve">Verify </w:t>
            </w:r>
            <w:r w:rsidR="0063525F" w:rsidRPr="00E24B78">
              <w:rPr>
                <w:rFonts w:ascii="Souvenir Lt BT" w:eastAsia="Times New Roman" w:hAnsi="Souvenir Lt BT" w:cs="Times New Roman"/>
                <w:i/>
                <w:sz w:val="24"/>
                <w:szCs w:val="24"/>
              </w:rPr>
              <w:t>Person</w:t>
            </w:r>
          </w:p>
        </w:tc>
      </w:tr>
    </w:tbl>
    <w:p w14:paraId="4CD62D63" w14:textId="77777777" w:rsidR="00A7199E" w:rsidRDefault="00A7199E" w:rsidP="00E24B78">
      <w:pPr>
        <w:autoSpaceDE w:val="0"/>
        <w:autoSpaceDN w:val="0"/>
        <w:rPr>
          <w:rFonts w:ascii="Times New Roman" w:hAnsi="Times New Roman" w:cs="Times New Roman"/>
          <w:bCs/>
          <w:color w:val="000000"/>
          <w:sz w:val="23"/>
          <w:szCs w:val="23"/>
        </w:rPr>
      </w:pPr>
    </w:p>
    <w:sectPr w:rsidR="00A7199E" w:rsidSect="00003745">
      <w:headerReference w:type="default" r:id="rId18"/>
      <w:footerReference w:type="default" r:id="rId19"/>
      <w:headerReference w:type="first" r:id="rId2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77C8C7" w14:textId="77777777" w:rsidR="00301440" w:rsidRDefault="00301440" w:rsidP="000D471A">
      <w:r>
        <w:separator/>
      </w:r>
    </w:p>
  </w:endnote>
  <w:endnote w:type="continuationSeparator" w:id="0">
    <w:p w14:paraId="247E1D28" w14:textId="77777777" w:rsidR="00301440" w:rsidRDefault="00301440" w:rsidP="000D4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ouvenir Lt BT">
    <w:panose1 w:val="02080503040505020303"/>
    <w:charset w:val="00"/>
    <w:family w:val="roman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45F5F9" w14:textId="1F27963C" w:rsidR="006C6DDC" w:rsidRPr="00E24B78" w:rsidRDefault="006C6DDC" w:rsidP="00E24B78">
    <w:pPr>
      <w:pStyle w:val="Footer"/>
      <w:pBdr>
        <w:top w:val="single" w:sz="6" w:space="4" w:color="auto"/>
      </w:pBdr>
      <w:spacing w:before="120"/>
      <w:rPr>
        <w:rFonts w:ascii="Souvenir Lt BT" w:hAnsi="Souvenir Lt BT" w:cs="Arial"/>
        <w:sz w:val="24"/>
        <w:szCs w:val="24"/>
      </w:rPr>
    </w:pPr>
    <w:r w:rsidRPr="003658BF">
      <w:rPr>
        <w:rFonts w:ascii="Arial" w:eastAsiaTheme="majorEastAsia" w:hAnsi="Arial" w:cs="Arial"/>
        <w:b/>
        <w:bCs/>
        <w:sz w:val="20"/>
        <w:szCs w:val="20"/>
      </w:rPr>
      <w:tab/>
    </w:r>
    <w:r w:rsidRPr="00E24B78">
      <w:rPr>
        <w:rFonts w:ascii="Souvenir Lt BT" w:eastAsiaTheme="minorEastAsia" w:hAnsi="Souvenir Lt BT" w:cs="Arial"/>
        <w:sz w:val="24"/>
        <w:szCs w:val="24"/>
      </w:rPr>
      <w:fldChar w:fldCharType="begin"/>
    </w:r>
    <w:r w:rsidRPr="00E24B78">
      <w:rPr>
        <w:rFonts w:ascii="Souvenir Lt BT" w:hAnsi="Souvenir Lt BT" w:cs="Arial"/>
        <w:sz w:val="24"/>
        <w:szCs w:val="24"/>
      </w:rPr>
      <w:instrText xml:space="preserve"> PAGE   \* MERGEFORMAT </w:instrText>
    </w:r>
    <w:r w:rsidRPr="00E24B78">
      <w:rPr>
        <w:rFonts w:ascii="Souvenir Lt BT" w:eastAsiaTheme="minorEastAsia" w:hAnsi="Souvenir Lt BT" w:cs="Arial"/>
        <w:sz w:val="24"/>
        <w:szCs w:val="24"/>
      </w:rPr>
      <w:fldChar w:fldCharType="separate"/>
    </w:r>
    <w:r w:rsidR="006F3A31" w:rsidRPr="006F3A31">
      <w:rPr>
        <w:rFonts w:ascii="Souvenir Lt BT" w:eastAsiaTheme="majorEastAsia" w:hAnsi="Souvenir Lt BT" w:cs="Arial"/>
        <w:noProof/>
        <w:sz w:val="24"/>
        <w:szCs w:val="24"/>
      </w:rPr>
      <w:t>4</w:t>
    </w:r>
    <w:r w:rsidRPr="00E24B78">
      <w:rPr>
        <w:rFonts w:ascii="Souvenir Lt BT" w:eastAsiaTheme="majorEastAsia" w:hAnsi="Souvenir Lt BT" w:cs="Arial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DB01BB" w14:textId="77777777" w:rsidR="00301440" w:rsidRDefault="00301440" w:rsidP="000D471A">
      <w:r>
        <w:separator/>
      </w:r>
    </w:p>
  </w:footnote>
  <w:footnote w:type="continuationSeparator" w:id="0">
    <w:p w14:paraId="767352CC" w14:textId="77777777" w:rsidR="00301440" w:rsidRDefault="00301440" w:rsidP="000D471A">
      <w:r>
        <w:continuationSeparator/>
      </w:r>
    </w:p>
  </w:footnote>
  <w:footnote w:id="1">
    <w:p w14:paraId="717796B4" w14:textId="59C87386" w:rsidR="00E62050" w:rsidRDefault="00E62050">
      <w:pPr>
        <w:pStyle w:val="FootnoteText"/>
      </w:pPr>
      <w:r w:rsidRPr="00E24B78">
        <w:rPr>
          <w:rStyle w:val="FootnoteReference"/>
          <w:rFonts w:ascii="Souvenir Lt BT" w:hAnsi="Souvenir Lt BT"/>
        </w:rPr>
        <w:footnoteRef/>
      </w:r>
      <w:r w:rsidRPr="00E24B78">
        <w:rPr>
          <w:rFonts w:ascii="Souvenir Lt BT" w:hAnsi="Souvenir Lt BT"/>
        </w:rPr>
        <w:t xml:space="preserve"> </w:t>
      </w:r>
      <w:hyperlink r:id="rId1" w:history="1">
        <w:r w:rsidRPr="00E24B78">
          <w:rPr>
            <w:rStyle w:val="Hyperlink"/>
            <w:rFonts w:ascii="Souvenir Lt BT" w:hAnsi="Souvenir Lt BT"/>
          </w:rPr>
          <w:t>http://www.it.ojp.gov/docdownloader.aspx?ddid=1171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BA69BA" w14:textId="21C27FAD" w:rsidR="00003745" w:rsidRPr="00003745" w:rsidRDefault="00003745" w:rsidP="00003745">
    <w:pPr>
      <w:pStyle w:val="Header"/>
      <w:pBdr>
        <w:bottom w:val="single" w:sz="6" w:space="1" w:color="auto"/>
      </w:pBdr>
      <w:rPr>
        <w:rFonts w:ascii="Souvenir Lt BT" w:hAnsi="Souvenir Lt BT"/>
        <w:b/>
      </w:rPr>
    </w:pPr>
    <w:r w:rsidRPr="00003745">
      <w:rPr>
        <w:rFonts w:ascii="Souvenir Lt BT" w:hAnsi="Souvenir Lt BT"/>
        <w:b/>
      </w:rPr>
      <w:t>GRA Service Interaction Process Modeling Profile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582257" w14:textId="13F3B49D" w:rsidR="006F3A31" w:rsidRPr="006F3A31" w:rsidRDefault="006F3A31" w:rsidP="006F3A31">
    <w:pPr>
      <w:pStyle w:val="Header"/>
      <w:jc w:val="center"/>
      <w:rPr>
        <w:rFonts w:ascii="Souvenir Lt BT" w:hAnsi="Souvenir Lt BT"/>
        <w:b/>
        <w:color w:val="FF0000"/>
        <w:sz w:val="32"/>
        <w:szCs w:val="32"/>
      </w:rPr>
    </w:pPr>
    <w:r w:rsidRPr="006F3A31">
      <w:rPr>
        <w:rFonts w:ascii="Souvenir Lt BT" w:hAnsi="Souvenir Lt BT"/>
        <w:b/>
        <w:color w:val="FF0000"/>
        <w:sz w:val="32"/>
        <w:szCs w:val="32"/>
      </w:rPr>
      <w:t>DRAFT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3112B"/>
    <w:multiLevelType w:val="hybridMultilevel"/>
    <w:tmpl w:val="88CC9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BD65BD"/>
    <w:multiLevelType w:val="hybridMultilevel"/>
    <w:tmpl w:val="A5065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410F72"/>
    <w:multiLevelType w:val="hybridMultilevel"/>
    <w:tmpl w:val="6CB84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1E2C91"/>
    <w:multiLevelType w:val="hybridMultilevel"/>
    <w:tmpl w:val="BF34A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041EFA"/>
    <w:multiLevelType w:val="multilevel"/>
    <w:tmpl w:val="16948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A173E0B"/>
    <w:multiLevelType w:val="hybridMultilevel"/>
    <w:tmpl w:val="6FF8E0E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A200EA0"/>
    <w:multiLevelType w:val="hybridMultilevel"/>
    <w:tmpl w:val="78E43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4421A4"/>
    <w:multiLevelType w:val="hybridMultilevel"/>
    <w:tmpl w:val="B63831B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07B786A"/>
    <w:multiLevelType w:val="hybridMultilevel"/>
    <w:tmpl w:val="DD3CFF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D00809"/>
    <w:multiLevelType w:val="multilevel"/>
    <w:tmpl w:val="BDFAB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9E51CF1"/>
    <w:multiLevelType w:val="hybridMultilevel"/>
    <w:tmpl w:val="1DC808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2444A7"/>
    <w:multiLevelType w:val="multilevel"/>
    <w:tmpl w:val="0E3C8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0A51589"/>
    <w:multiLevelType w:val="hybridMultilevel"/>
    <w:tmpl w:val="C15A1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48320B"/>
    <w:multiLevelType w:val="hybridMultilevel"/>
    <w:tmpl w:val="30DA94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4934463"/>
    <w:multiLevelType w:val="hybridMultilevel"/>
    <w:tmpl w:val="A596E8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5234E2"/>
    <w:multiLevelType w:val="hybridMultilevel"/>
    <w:tmpl w:val="FA60E27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1A127F4"/>
    <w:multiLevelType w:val="hybridMultilevel"/>
    <w:tmpl w:val="D87C94C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4B46260"/>
    <w:multiLevelType w:val="hybridMultilevel"/>
    <w:tmpl w:val="9F2A7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940B6D"/>
    <w:multiLevelType w:val="hybridMultilevel"/>
    <w:tmpl w:val="9CB8BC6A"/>
    <w:lvl w:ilvl="0" w:tplc="BFFA79B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7A2FB6"/>
    <w:multiLevelType w:val="hybridMultilevel"/>
    <w:tmpl w:val="4A062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2AA025C"/>
    <w:multiLevelType w:val="hybridMultilevel"/>
    <w:tmpl w:val="44EEE32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60E27EB"/>
    <w:multiLevelType w:val="hybridMultilevel"/>
    <w:tmpl w:val="21DC39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D9A23D1"/>
    <w:multiLevelType w:val="multilevel"/>
    <w:tmpl w:val="7DC0B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CEC574B"/>
    <w:multiLevelType w:val="hybridMultilevel"/>
    <w:tmpl w:val="43CEC1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313EA0"/>
    <w:multiLevelType w:val="hybridMultilevel"/>
    <w:tmpl w:val="746CD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9"/>
  </w:num>
  <w:num w:numId="3">
    <w:abstractNumId w:val="22"/>
  </w:num>
  <w:num w:numId="4">
    <w:abstractNumId w:val="11"/>
  </w:num>
  <w:num w:numId="5">
    <w:abstractNumId w:val="4"/>
  </w:num>
  <w:num w:numId="6">
    <w:abstractNumId w:val="5"/>
  </w:num>
  <w:num w:numId="7">
    <w:abstractNumId w:val="24"/>
  </w:num>
  <w:num w:numId="8">
    <w:abstractNumId w:val="21"/>
  </w:num>
  <w:num w:numId="9">
    <w:abstractNumId w:val="0"/>
  </w:num>
  <w:num w:numId="10">
    <w:abstractNumId w:val="10"/>
  </w:num>
  <w:num w:numId="11">
    <w:abstractNumId w:val="20"/>
  </w:num>
  <w:num w:numId="12">
    <w:abstractNumId w:val="16"/>
  </w:num>
  <w:num w:numId="13">
    <w:abstractNumId w:val="2"/>
  </w:num>
  <w:num w:numId="14">
    <w:abstractNumId w:val="6"/>
  </w:num>
  <w:num w:numId="15">
    <w:abstractNumId w:val="1"/>
  </w:num>
  <w:num w:numId="16">
    <w:abstractNumId w:val="17"/>
  </w:num>
  <w:num w:numId="17">
    <w:abstractNumId w:val="15"/>
  </w:num>
  <w:num w:numId="18">
    <w:abstractNumId w:val="12"/>
  </w:num>
  <w:num w:numId="19">
    <w:abstractNumId w:val="7"/>
  </w:num>
  <w:num w:numId="20">
    <w:abstractNumId w:val="13"/>
  </w:num>
  <w:num w:numId="21">
    <w:abstractNumId w:val="14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</w:num>
  <w:num w:numId="24">
    <w:abstractNumId w:val="3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2A6"/>
    <w:rsid w:val="00001E18"/>
    <w:rsid w:val="00003745"/>
    <w:rsid w:val="0001363C"/>
    <w:rsid w:val="000224C8"/>
    <w:rsid w:val="0002301F"/>
    <w:rsid w:val="00027FE7"/>
    <w:rsid w:val="00031A68"/>
    <w:rsid w:val="00035601"/>
    <w:rsid w:val="000376FE"/>
    <w:rsid w:val="00043F87"/>
    <w:rsid w:val="00044BCF"/>
    <w:rsid w:val="00046565"/>
    <w:rsid w:val="000577E3"/>
    <w:rsid w:val="000602AE"/>
    <w:rsid w:val="00062187"/>
    <w:rsid w:val="00065342"/>
    <w:rsid w:val="00067AE7"/>
    <w:rsid w:val="000828C9"/>
    <w:rsid w:val="00084CD5"/>
    <w:rsid w:val="0008690B"/>
    <w:rsid w:val="00090F25"/>
    <w:rsid w:val="000A50EC"/>
    <w:rsid w:val="000A72D1"/>
    <w:rsid w:val="000A74A0"/>
    <w:rsid w:val="000B2E32"/>
    <w:rsid w:val="000B4461"/>
    <w:rsid w:val="000B5ADA"/>
    <w:rsid w:val="000B5D43"/>
    <w:rsid w:val="000B6D09"/>
    <w:rsid w:val="000D3201"/>
    <w:rsid w:val="000D471A"/>
    <w:rsid w:val="000D4AF3"/>
    <w:rsid w:val="000D7BDF"/>
    <w:rsid w:val="000E2781"/>
    <w:rsid w:val="000F4B37"/>
    <w:rsid w:val="000F69E8"/>
    <w:rsid w:val="000F6FA5"/>
    <w:rsid w:val="001027DE"/>
    <w:rsid w:val="00110AA7"/>
    <w:rsid w:val="00114BBB"/>
    <w:rsid w:val="00121869"/>
    <w:rsid w:val="001235D3"/>
    <w:rsid w:val="001254DF"/>
    <w:rsid w:val="00125BAC"/>
    <w:rsid w:val="001335CD"/>
    <w:rsid w:val="00141290"/>
    <w:rsid w:val="0014241E"/>
    <w:rsid w:val="001476FD"/>
    <w:rsid w:val="00161D5A"/>
    <w:rsid w:val="00165501"/>
    <w:rsid w:val="00166525"/>
    <w:rsid w:val="00166895"/>
    <w:rsid w:val="00173157"/>
    <w:rsid w:val="00177BB0"/>
    <w:rsid w:val="00194139"/>
    <w:rsid w:val="00197D4B"/>
    <w:rsid w:val="001A2AD9"/>
    <w:rsid w:val="001B316D"/>
    <w:rsid w:val="001B72C4"/>
    <w:rsid w:val="001D7765"/>
    <w:rsid w:val="001E1DB1"/>
    <w:rsid w:val="00202CDA"/>
    <w:rsid w:val="00211A43"/>
    <w:rsid w:val="002121B7"/>
    <w:rsid w:val="00213A08"/>
    <w:rsid w:val="0021551F"/>
    <w:rsid w:val="0022710A"/>
    <w:rsid w:val="00231072"/>
    <w:rsid w:val="002324B0"/>
    <w:rsid w:val="00233F7F"/>
    <w:rsid w:val="002414D2"/>
    <w:rsid w:val="00250A2C"/>
    <w:rsid w:val="00254FCB"/>
    <w:rsid w:val="002554FA"/>
    <w:rsid w:val="00255E53"/>
    <w:rsid w:val="00260DB5"/>
    <w:rsid w:val="00260F17"/>
    <w:rsid w:val="00262282"/>
    <w:rsid w:val="00267223"/>
    <w:rsid w:val="002708EF"/>
    <w:rsid w:val="002750CC"/>
    <w:rsid w:val="00276081"/>
    <w:rsid w:val="00276752"/>
    <w:rsid w:val="00283AD9"/>
    <w:rsid w:val="00286296"/>
    <w:rsid w:val="0028738E"/>
    <w:rsid w:val="0029744F"/>
    <w:rsid w:val="002A7BC1"/>
    <w:rsid w:val="002B2ED4"/>
    <w:rsid w:val="002B3C14"/>
    <w:rsid w:val="002C1412"/>
    <w:rsid w:val="002C570E"/>
    <w:rsid w:val="002C67D0"/>
    <w:rsid w:val="002C6A59"/>
    <w:rsid w:val="002D22F4"/>
    <w:rsid w:val="002D412F"/>
    <w:rsid w:val="002D48BA"/>
    <w:rsid w:val="002D6C70"/>
    <w:rsid w:val="002F4916"/>
    <w:rsid w:val="00301440"/>
    <w:rsid w:val="00301609"/>
    <w:rsid w:val="00303F13"/>
    <w:rsid w:val="00307DC5"/>
    <w:rsid w:val="00313339"/>
    <w:rsid w:val="003238D6"/>
    <w:rsid w:val="003355EA"/>
    <w:rsid w:val="00343A5E"/>
    <w:rsid w:val="003527FA"/>
    <w:rsid w:val="003624FA"/>
    <w:rsid w:val="00363B8F"/>
    <w:rsid w:val="00363D89"/>
    <w:rsid w:val="003658BF"/>
    <w:rsid w:val="00370641"/>
    <w:rsid w:val="00370AE4"/>
    <w:rsid w:val="00373BE2"/>
    <w:rsid w:val="003741FE"/>
    <w:rsid w:val="00380C81"/>
    <w:rsid w:val="00391002"/>
    <w:rsid w:val="0039745A"/>
    <w:rsid w:val="003A3970"/>
    <w:rsid w:val="003A4A33"/>
    <w:rsid w:val="003B0A7C"/>
    <w:rsid w:val="003C088A"/>
    <w:rsid w:val="003C29F8"/>
    <w:rsid w:val="003C5044"/>
    <w:rsid w:val="003C533E"/>
    <w:rsid w:val="003D466C"/>
    <w:rsid w:val="003D659B"/>
    <w:rsid w:val="003D6D99"/>
    <w:rsid w:val="003E0ADF"/>
    <w:rsid w:val="003E1F9A"/>
    <w:rsid w:val="003E4E07"/>
    <w:rsid w:val="003E6E56"/>
    <w:rsid w:val="003F00B4"/>
    <w:rsid w:val="003F7E43"/>
    <w:rsid w:val="0040429B"/>
    <w:rsid w:val="00405FD7"/>
    <w:rsid w:val="00407318"/>
    <w:rsid w:val="004132F6"/>
    <w:rsid w:val="00414139"/>
    <w:rsid w:val="00416815"/>
    <w:rsid w:val="00421DC3"/>
    <w:rsid w:val="00421F34"/>
    <w:rsid w:val="0042348E"/>
    <w:rsid w:val="00430F66"/>
    <w:rsid w:val="004319BE"/>
    <w:rsid w:val="00434810"/>
    <w:rsid w:val="004374D9"/>
    <w:rsid w:val="00440623"/>
    <w:rsid w:val="0044137A"/>
    <w:rsid w:val="004544DA"/>
    <w:rsid w:val="00455A46"/>
    <w:rsid w:val="00471CE4"/>
    <w:rsid w:val="00473889"/>
    <w:rsid w:val="004743A1"/>
    <w:rsid w:val="00487E76"/>
    <w:rsid w:val="004A2535"/>
    <w:rsid w:val="004A748C"/>
    <w:rsid w:val="004B24DF"/>
    <w:rsid w:val="004B45F9"/>
    <w:rsid w:val="004B58DD"/>
    <w:rsid w:val="004B72F0"/>
    <w:rsid w:val="004C1455"/>
    <w:rsid w:val="004C40AC"/>
    <w:rsid w:val="004D1A5B"/>
    <w:rsid w:val="004D3485"/>
    <w:rsid w:val="004D549B"/>
    <w:rsid w:val="004D74BE"/>
    <w:rsid w:val="004E4017"/>
    <w:rsid w:val="004F1B11"/>
    <w:rsid w:val="004F3603"/>
    <w:rsid w:val="004F4240"/>
    <w:rsid w:val="00503889"/>
    <w:rsid w:val="0051195D"/>
    <w:rsid w:val="00511C46"/>
    <w:rsid w:val="00513131"/>
    <w:rsid w:val="005141BA"/>
    <w:rsid w:val="005223DA"/>
    <w:rsid w:val="00523CE1"/>
    <w:rsid w:val="00523EDE"/>
    <w:rsid w:val="005509EE"/>
    <w:rsid w:val="005528DF"/>
    <w:rsid w:val="00552A9A"/>
    <w:rsid w:val="005607E8"/>
    <w:rsid w:val="00560958"/>
    <w:rsid w:val="00570561"/>
    <w:rsid w:val="0057084A"/>
    <w:rsid w:val="005715A9"/>
    <w:rsid w:val="005727F6"/>
    <w:rsid w:val="00577B98"/>
    <w:rsid w:val="00586FA8"/>
    <w:rsid w:val="0058782A"/>
    <w:rsid w:val="005924A3"/>
    <w:rsid w:val="00597770"/>
    <w:rsid w:val="005A2B38"/>
    <w:rsid w:val="005A62C4"/>
    <w:rsid w:val="005A6988"/>
    <w:rsid w:val="005B1282"/>
    <w:rsid w:val="005C0121"/>
    <w:rsid w:val="005C4CA3"/>
    <w:rsid w:val="005D1C6D"/>
    <w:rsid w:val="005D1EAC"/>
    <w:rsid w:val="005D2710"/>
    <w:rsid w:val="005E4F3C"/>
    <w:rsid w:val="005F248C"/>
    <w:rsid w:val="005F682C"/>
    <w:rsid w:val="00604203"/>
    <w:rsid w:val="00607082"/>
    <w:rsid w:val="0061049C"/>
    <w:rsid w:val="00611D87"/>
    <w:rsid w:val="00612591"/>
    <w:rsid w:val="006179A3"/>
    <w:rsid w:val="00623BBC"/>
    <w:rsid w:val="00625DFF"/>
    <w:rsid w:val="006302B9"/>
    <w:rsid w:val="00633D0D"/>
    <w:rsid w:val="0063525F"/>
    <w:rsid w:val="006375D9"/>
    <w:rsid w:val="006404F9"/>
    <w:rsid w:val="00640BBD"/>
    <w:rsid w:val="00647E1A"/>
    <w:rsid w:val="006507CD"/>
    <w:rsid w:val="006635AC"/>
    <w:rsid w:val="00673BDA"/>
    <w:rsid w:val="0068478A"/>
    <w:rsid w:val="00692D75"/>
    <w:rsid w:val="006949F2"/>
    <w:rsid w:val="006969A8"/>
    <w:rsid w:val="006A42A9"/>
    <w:rsid w:val="006B36CB"/>
    <w:rsid w:val="006C5D1F"/>
    <w:rsid w:val="006C6DDC"/>
    <w:rsid w:val="006E1F58"/>
    <w:rsid w:val="006E41AB"/>
    <w:rsid w:val="006F3A31"/>
    <w:rsid w:val="006F48F8"/>
    <w:rsid w:val="006F769C"/>
    <w:rsid w:val="007111D0"/>
    <w:rsid w:val="0071745D"/>
    <w:rsid w:val="00717A73"/>
    <w:rsid w:val="00723DA2"/>
    <w:rsid w:val="007256CC"/>
    <w:rsid w:val="00732C48"/>
    <w:rsid w:val="00735EB0"/>
    <w:rsid w:val="0073772B"/>
    <w:rsid w:val="00741E0C"/>
    <w:rsid w:val="00750FA3"/>
    <w:rsid w:val="007517E3"/>
    <w:rsid w:val="00751E6B"/>
    <w:rsid w:val="00755A0B"/>
    <w:rsid w:val="00760D36"/>
    <w:rsid w:val="007638C2"/>
    <w:rsid w:val="007673B3"/>
    <w:rsid w:val="007844E0"/>
    <w:rsid w:val="007A5834"/>
    <w:rsid w:val="007B23CB"/>
    <w:rsid w:val="007B45B6"/>
    <w:rsid w:val="007B4CCA"/>
    <w:rsid w:val="007C25F4"/>
    <w:rsid w:val="007D05E2"/>
    <w:rsid w:val="007D5191"/>
    <w:rsid w:val="007D5E69"/>
    <w:rsid w:val="007D679B"/>
    <w:rsid w:val="007E4F37"/>
    <w:rsid w:val="007F3C12"/>
    <w:rsid w:val="007F5980"/>
    <w:rsid w:val="0080520C"/>
    <w:rsid w:val="008052EA"/>
    <w:rsid w:val="00814AC9"/>
    <w:rsid w:val="0081629E"/>
    <w:rsid w:val="008237B2"/>
    <w:rsid w:val="0082382E"/>
    <w:rsid w:val="008265E7"/>
    <w:rsid w:val="0083488C"/>
    <w:rsid w:val="00835E04"/>
    <w:rsid w:val="00837771"/>
    <w:rsid w:val="00846730"/>
    <w:rsid w:val="008572BE"/>
    <w:rsid w:val="00861785"/>
    <w:rsid w:val="0086214C"/>
    <w:rsid w:val="00862C2B"/>
    <w:rsid w:val="008746EA"/>
    <w:rsid w:val="00874807"/>
    <w:rsid w:val="00882B90"/>
    <w:rsid w:val="008850CC"/>
    <w:rsid w:val="00891779"/>
    <w:rsid w:val="00893DC7"/>
    <w:rsid w:val="0089624D"/>
    <w:rsid w:val="008963B0"/>
    <w:rsid w:val="008A3F57"/>
    <w:rsid w:val="008B3A7D"/>
    <w:rsid w:val="008C2262"/>
    <w:rsid w:val="008D0024"/>
    <w:rsid w:val="008D645E"/>
    <w:rsid w:val="008D7066"/>
    <w:rsid w:val="008E21EC"/>
    <w:rsid w:val="008E2B9E"/>
    <w:rsid w:val="00900063"/>
    <w:rsid w:val="00900C8A"/>
    <w:rsid w:val="00902271"/>
    <w:rsid w:val="00904F14"/>
    <w:rsid w:val="0091364D"/>
    <w:rsid w:val="00914EA0"/>
    <w:rsid w:val="00920883"/>
    <w:rsid w:val="0092572F"/>
    <w:rsid w:val="00925D4C"/>
    <w:rsid w:val="009314A1"/>
    <w:rsid w:val="00933289"/>
    <w:rsid w:val="00933735"/>
    <w:rsid w:val="0094245D"/>
    <w:rsid w:val="00944BB3"/>
    <w:rsid w:val="00970F43"/>
    <w:rsid w:val="00977623"/>
    <w:rsid w:val="009845BE"/>
    <w:rsid w:val="009857E8"/>
    <w:rsid w:val="009876B1"/>
    <w:rsid w:val="009877AF"/>
    <w:rsid w:val="00987CD0"/>
    <w:rsid w:val="00992FFF"/>
    <w:rsid w:val="009A2E45"/>
    <w:rsid w:val="009A44CA"/>
    <w:rsid w:val="009A4FA1"/>
    <w:rsid w:val="009A60C7"/>
    <w:rsid w:val="009B169C"/>
    <w:rsid w:val="009B202A"/>
    <w:rsid w:val="009B3F6D"/>
    <w:rsid w:val="009B6E39"/>
    <w:rsid w:val="009C389F"/>
    <w:rsid w:val="009C6A8F"/>
    <w:rsid w:val="009D0DCB"/>
    <w:rsid w:val="009D26D0"/>
    <w:rsid w:val="009D49DD"/>
    <w:rsid w:val="009D6D25"/>
    <w:rsid w:val="009E1131"/>
    <w:rsid w:val="009E29A6"/>
    <w:rsid w:val="009E36C3"/>
    <w:rsid w:val="009E5182"/>
    <w:rsid w:val="009F0B5F"/>
    <w:rsid w:val="009F2815"/>
    <w:rsid w:val="009F32CA"/>
    <w:rsid w:val="00A04AD9"/>
    <w:rsid w:val="00A1051B"/>
    <w:rsid w:val="00A11172"/>
    <w:rsid w:val="00A12D9D"/>
    <w:rsid w:val="00A142FB"/>
    <w:rsid w:val="00A15D53"/>
    <w:rsid w:val="00A15F98"/>
    <w:rsid w:val="00A30971"/>
    <w:rsid w:val="00A319DC"/>
    <w:rsid w:val="00A31B99"/>
    <w:rsid w:val="00A32CF9"/>
    <w:rsid w:val="00A544EE"/>
    <w:rsid w:val="00A71023"/>
    <w:rsid w:val="00A7199E"/>
    <w:rsid w:val="00A82AEF"/>
    <w:rsid w:val="00A84AF4"/>
    <w:rsid w:val="00A859A2"/>
    <w:rsid w:val="00A8665E"/>
    <w:rsid w:val="00A87857"/>
    <w:rsid w:val="00A952A6"/>
    <w:rsid w:val="00AA4A70"/>
    <w:rsid w:val="00AA4B21"/>
    <w:rsid w:val="00AA59FD"/>
    <w:rsid w:val="00AB3216"/>
    <w:rsid w:val="00AD03CE"/>
    <w:rsid w:val="00AD6D49"/>
    <w:rsid w:val="00AF3273"/>
    <w:rsid w:val="00AF38C3"/>
    <w:rsid w:val="00AF409B"/>
    <w:rsid w:val="00AF5A36"/>
    <w:rsid w:val="00B001D9"/>
    <w:rsid w:val="00B06175"/>
    <w:rsid w:val="00B06503"/>
    <w:rsid w:val="00B16B38"/>
    <w:rsid w:val="00B209C3"/>
    <w:rsid w:val="00B23B2D"/>
    <w:rsid w:val="00B31286"/>
    <w:rsid w:val="00B422DC"/>
    <w:rsid w:val="00B42ED3"/>
    <w:rsid w:val="00B460B0"/>
    <w:rsid w:val="00B507C6"/>
    <w:rsid w:val="00B526E5"/>
    <w:rsid w:val="00B70101"/>
    <w:rsid w:val="00B73DBA"/>
    <w:rsid w:val="00B82846"/>
    <w:rsid w:val="00BA225D"/>
    <w:rsid w:val="00BC0C90"/>
    <w:rsid w:val="00BC53B1"/>
    <w:rsid w:val="00BD120A"/>
    <w:rsid w:val="00BD12CE"/>
    <w:rsid w:val="00BD3CC3"/>
    <w:rsid w:val="00BE0D33"/>
    <w:rsid w:val="00BE496F"/>
    <w:rsid w:val="00BE5B0B"/>
    <w:rsid w:val="00BF058F"/>
    <w:rsid w:val="00BF18D9"/>
    <w:rsid w:val="00BF19EB"/>
    <w:rsid w:val="00BF44D8"/>
    <w:rsid w:val="00BF55CF"/>
    <w:rsid w:val="00C077FB"/>
    <w:rsid w:val="00C15B28"/>
    <w:rsid w:val="00C20235"/>
    <w:rsid w:val="00C209DC"/>
    <w:rsid w:val="00C22EAC"/>
    <w:rsid w:val="00C26F2F"/>
    <w:rsid w:val="00C316B3"/>
    <w:rsid w:val="00C60AC7"/>
    <w:rsid w:val="00C64105"/>
    <w:rsid w:val="00C674CF"/>
    <w:rsid w:val="00C73CAC"/>
    <w:rsid w:val="00C755F8"/>
    <w:rsid w:val="00C75CCC"/>
    <w:rsid w:val="00C9046F"/>
    <w:rsid w:val="00C932AF"/>
    <w:rsid w:val="00C96F77"/>
    <w:rsid w:val="00C97EB2"/>
    <w:rsid w:val="00CA2C12"/>
    <w:rsid w:val="00CA753C"/>
    <w:rsid w:val="00CB0DED"/>
    <w:rsid w:val="00CC0EFB"/>
    <w:rsid w:val="00CD38F5"/>
    <w:rsid w:val="00CE326B"/>
    <w:rsid w:val="00CF0081"/>
    <w:rsid w:val="00CF3657"/>
    <w:rsid w:val="00D0341F"/>
    <w:rsid w:val="00D11662"/>
    <w:rsid w:val="00D1274A"/>
    <w:rsid w:val="00D12991"/>
    <w:rsid w:val="00D158CD"/>
    <w:rsid w:val="00D26B18"/>
    <w:rsid w:val="00D27E52"/>
    <w:rsid w:val="00D27FEC"/>
    <w:rsid w:val="00D27FF0"/>
    <w:rsid w:val="00D33520"/>
    <w:rsid w:val="00D36BD4"/>
    <w:rsid w:val="00D43A2F"/>
    <w:rsid w:val="00D45C24"/>
    <w:rsid w:val="00D64F97"/>
    <w:rsid w:val="00D711E7"/>
    <w:rsid w:val="00D7408E"/>
    <w:rsid w:val="00D76E2B"/>
    <w:rsid w:val="00D76F15"/>
    <w:rsid w:val="00D80898"/>
    <w:rsid w:val="00D80D0D"/>
    <w:rsid w:val="00D813D8"/>
    <w:rsid w:val="00D81836"/>
    <w:rsid w:val="00D96A3B"/>
    <w:rsid w:val="00DA543C"/>
    <w:rsid w:val="00DA6952"/>
    <w:rsid w:val="00DC1CBE"/>
    <w:rsid w:val="00DD4C88"/>
    <w:rsid w:val="00DF3DF0"/>
    <w:rsid w:val="00E01E4A"/>
    <w:rsid w:val="00E036A1"/>
    <w:rsid w:val="00E06C19"/>
    <w:rsid w:val="00E1304E"/>
    <w:rsid w:val="00E140B2"/>
    <w:rsid w:val="00E178B5"/>
    <w:rsid w:val="00E23F40"/>
    <w:rsid w:val="00E24B78"/>
    <w:rsid w:val="00E24DAC"/>
    <w:rsid w:val="00E30AF8"/>
    <w:rsid w:val="00E340E0"/>
    <w:rsid w:val="00E41190"/>
    <w:rsid w:val="00E42A7C"/>
    <w:rsid w:val="00E47EB4"/>
    <w:rsid w:val="00E536E5"/>
    <w:rsid w:val="00E6024A"/>
    <w:rsid w:val="00E62050"/>
    <w:rsid w:val="00E62BB2"/>
    <w:rsid w:val="00E671D9"/>
    <w:rsid w:val="00E73CB3"/>
    <w:rsid w:val="00E73DD4"/>
    <w:rsid w:val="00E76D5C"/>
    <w:rsid w:val="00E8225C"/>
    <w:rsid w:val="00E872EA"/>
    <w:rsid w:val="00E9093E"/>
    <w:rsid w:val="00E90ED7"/>
    <w:rsid w:val="00E93694"/>
    <w:rsid w:val="00E96A90"/>
    <w:rsid w:val="00E96AF1"/>
    <w:rsid w:val="00EA1797"/>
    <w:rsid w:val="00EA1836"/>
    <w:rsid w:val="00EA305C"/>
    <w:rsid w:val="00EA3589"/>
    <w:rsid w:val="00EA6CC9"/>
    <w:rsid w:val="00EB55A9"/>
    <w:rsid w:val="00EB581C"/>
    <w:rsid w:val="00EC0555"/>
    <w:rsid w:val="00EC31D0"/>
    <w:rsid w:val="00EC4088"/>
    <w:rsid w:val="00EC5144"/>
    <w:rsid w:val="00ED023F"/>
    <w:rsid w:val="00ED1C7C"/>
    <w:rsid w:val="00EF00C0"/>
    <w:rsid w:val="00EF0CD4"/>
    <w:rsid w:val="00EF26FA"/>
    <w:rsid w:val="00EF3DCB"/>
    <w:rsid w:val="00F0061D"/>
    <w:rsid w:val="00F01164"/>
    <w:rsid w:val="00F12854"/>
    <w:rsid w:val="00F14EBA"/>
    <w:rsid w:val="00F23639"/>
    <w:rsid w:val="00F25B58"/>
    <w:rsid w:val="00F30BC5"/>
    <w:rsid w:val="00F33E51"/>
    <w:rsid w:val="00F35D8F"/>
    <w:rsid w:val="00F37E8B"/>
    <w:rsid w:val="00F515F5"/>
    <w:rsid w:val="00F558AD"/>
    <w:rsid w:val="00F70799"/>
    <w:rsid w:val="00F82386"/>
    <w:rsid w:val="00F843FF"/>
    <w:rsid w:val="00F867FB"/>
    <w:rsid w:val="00F913F2"/>
    <w:rsid w:val="00F92243"/>
    <w:rsid w:val="00FB0B53"/>
    <w:rsid w:val="00FB12ED"/>
    <w:rsid w:val="00FB3609"/>
    <w:rsid w:val="00FB4A5A"/>
    <w:rsid w:val="00FC1154"/>
    <w:rsid w:val="00FC13D3"/>
    <w:rsid w:val="00FC328F"/>
    <w:rsid w:val="00FD0B5B"/>
    <w:rsid w:val="00FD4699"/>
    <w:rsid w:val="00FD499F"/>
    <w:rsid w:val="00FE1F7D"/>
    <w:rsid w:val="00FE229B"/>
    <w:rsid w:val="00FF6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C45F52A"/>
  <w15:docId w15:val="{20406B41-33D8-4136-AE3E-FF1FFF6C3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52A6"/>
    <w:pPr>
      <w:spacing w:after="0" w:line="240" w:lineRule="auto"/>
    </w:pPr>
    <w:rPr>
      <w:rFonts w:ascii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E24B78"/>
    <w:pPr>
      <w:keepNext/>
      <w:keepLines/>
      <w:outlineLvl w:val="0"/>
    </w:pPr>
    <w:rPr>
      <w:rFonts w:ascii="Souvenir Lt BT" w:eastAsiaTheme="majorEastAsia" w:hAnsi="Souvenir Lt BT" w:cstheme="majorBidi"/>
      <w:b/>
      <w:bCs/>
      <w:color w:val="365F91" w:themeColor="accent1" w:themeShade="BF"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A2A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A2A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52A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F00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008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4319BE"/>
  </w:style>
  <w:style w:type="character" w:styleId="Emphasis">
    <w:name w:val="Emphasis"/>
    <w:basedOn w:val="DefaultParagraphFont"/>
    <w:uiPriority w:val="20"/>
    <w:qFormat/>
    <w:rsid w:val="00E671D9"/>
    <w:rPr>
      <w:i/>
      <w:iCs/>
    </w:rPr>
  </w:style>
  <w:style w:type="paragraph" w:customStyle="1" w:styleId="Default">
    <w:name w:val="Default"/>
    <w:rsid w:val="000F4B37"/>
    <w:pPr>
      <w:autoSpaceDE w:val="0"/>
      <w:autoSpaceDN w:val="0"/>
      <w:adjustRightInd w:val="0"/>
      <w:spacing w:after="0" w:line="240" w:lineRule="auto"/>
    </w:pPr>
    <w:rPr>
      <w:rFonts w:ascii="Souvenir Lt BT" w:hAnsi="Souvenir Lt BT" w:cs="Souvenir Lt BT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D471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471A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0D471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471A"/>
    <w:rPr>
      <w:rFonts w:ascii="Calibri" w:hAnsi="Calibri" w:cs="Calibri"/>
    </w:rPr>
  </w:style>
  <w:style w:type="character" w:styleId="CommentReference">
    <w:name w:val="annotation reference"/>
    <w:basedOn w:val="DefaultParagraphFont"/>
    <w:uiPriority w:val="99"/>
    <w:semiHidden/>
    <w:unhideWhenUsed/>
    <w:rsid w:val="002767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675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6752"/>
    <w:rPr>
      <w:rFonts w:ascii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67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6752"/>
    <w:rPr>
      <w:rFonts w:ascii="Calibri" w:hAnsi="Calibri" w:cs="Calibri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B3C14"/>
    <w:pPr>
      <w:spacing w:after="0" w:line="240" w:lineRule="auto"/>
    </w:pPr>
    <w:rPr>
      <w:rFonts w:ascii="Calibri" w:hAnsi="Calibri" w:cs="Calibr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558A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558AD"/>
    <w:rPr>
      <w:rFonts w:ascii="Calibri" w:hAnsi="Calibri" w:cs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558AD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F558AD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303F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E24B78"/>
    <w:rPr>
      <w:rFonts w:ascii="Souvenir Lt BT" w:eastAsiaTheme="majorEastAsia" w:hAnsi="Souvenir Lt BT" w:cstheme="majorBidi"/>
      <w:b/>
      <w:bCs/>
      <w:color w:val="365F91" w:themeColor="accent1" w:themeShade="BF"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A2A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A2AD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OCHeading">
    <w:name w:val="TOC Heading"/>
    <w:basedOn w:val="Heading1"/>
    <w:next w:val="Normal"/>
    <w:uiPriority w:val="39"/>
    <w:unhideWhenUsed/>
    <w:qFormat/>
    <w:rsid w:val="001A2AD9"/>
    <w:pPr>
      <w:spacing w:line="276" w:lineRule="auto"/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1A2AD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A2AD9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1A2AD9"/>
    <w:pPr>
      <w:spacing w:after="100"/>
      <w:ind w:left="440"/>
    </w:pPr>
  </w:style>
  <w:style w:type="paragraph" w:styleId="Subtitle">
    <w:name w:val="Subtitle"/>
    <w:basedOn w:val="Normal"/>
    <w:next w:val="Normal"/>
    <w:link w:val="SubtitleChar"/>
    <w:uiPriority w:val="11"/>
    <w:qFormat/>
    <w:rsid w:val="001A2AD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A2A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E24B78"/>
    <w:pPr>
      <w:pBdr>
        <w:bottom w:val="single" w:sz="8" w:space="4" w:color="4F81BD" w:themeColor="accent1"/>
      </w:pBdr>
      <w:spacing w:after="300"/>
      <w:contextualSpacing/>
    </w:pPr>
    <w:rPr>
      <w:rFonts w:ascii="Souvenir Lt BT" w:eastAsiaTheme="majorEastAsia" w:hAnsi="Souvenir Lt BT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24B78"/>
    <w:rPr>
      <w:rFonts w:ascii="Souvenir Lt BT" w:eastAsiaTheme="majorEastAsia" w:hAnsi="Souvenir Lt BT" w:cstheme="majorBidi"/>
      <w:color w:val="17365D" w:themeColor="text2" w:themeShade="BF"/>
      <w:spacing w:val="5"/>
      <w:kern w:val="28"/>
      <w:sz w:val="52"/>
      <w:szCs w:val="52"/>
    </w:rPr>
  </w:style>
  <w:style w:type="character" w:styleId="FollowedHyperlink">
    <w:name w:val="FollowedHyperlink"/>
    <w:basedOn w:val="DefaultParagraphFont"/>
    <w:uiPriority w:val="99"/>
    <w:semiHidden/>
    <w:unhideWhenUsed/>
    <w:rsid w:val="006F48F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2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jpg"/><Relationship Id="rId17" Type="http://schemas.openxmlformats.org/officeDocument/2006/relationships/image" Target="media/image7.jpg"/><Relationship Id="rId2" Type="http://schemas.openxmlformats.org/officeDocument/2006/relationships/customXml" Target="../customXml/item2.xml"/><Relationship Id="rId16" Type="http://schemas.openxmlformats.org/officeDocument/2006/relationships/image" Target="media/image6.jp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image" Target="media/image5.jpg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g"/><Relationship Id="rId22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t.ojp.gov/docdownloader.aspx?ddid=117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C757EFC63CB7438E4FDF6BDA8CEEFD" ma:contentTypeVersion="11" ma:contentTypeDescription="Create a new document." ma:contentTypeScope="" ma:versionID="11cc8c977410875d8a21fff21e8e062b">
  <xsd:schema xmlns:xsd="http://www.w3.org/2001/XMLSchema" xmlns:xs="http://www.w3.org/2001/XMLSchema" xmlns:p="http://schemas.microsoft.com/office/2006/metadata/properties" xmlns:ns2="ef5a8d25-ade4-4894-b586-bac44eebb87b" targetNamespace="http://schemas.microsoft.com/office/2006/metadata/properties" ma:root="true" ma:fieldsID="84105f3e09229442b8b861918666a66a" ns2:_="">
    <xsd:import namespace="ef5a8d25-ade4-4894-b586-bac44eebb87b"/>
    <xsd:element name="properties">
      <xsd:complexType>
        <xsd:sequence>
          <xsd:element name="documentManagement">
            <xsd:complexType>
              <xsd:all>
                <xsd:element ref="ns2:Funding_x0020_Source_x0020_Code"/>
                <xsd:element ref="ns2:ATS_x0020_Project_x0020_ID"/>
                <xsd:element ref="ns2:Current_x0020_Status"/>
                <xsd:element ref="ns2:Document_x0020_Purpose" minOccurs="0"/>
                <xsd:element ref="ns2:External_x0020_Document" minOccurs="0"/>
                <xsd:element ref="ns2:Route_x0020_T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5a8d25-ade4-4894-b586-bac44eebb87b" elementFormDefault="qualified">
    <xsd:import namespace="http://schemas.microsoft.com/office/2006/documentManagement/types"/>
    <xsd:import namespace="http://schemas.microsoft.com/office/infopath/2007/PartnerControls"/>
    <xsd:element name="Funding_x0020_Source_x0020_Code" ma:index="8" ma:displayName="Funding Source Code" ma:list="{aa942938-7b9b-4c72-be06-ef24b5f5adda}" ma:internalName="Funding_x0020_Source_x0020_Code" ma:showField="FunctionAndFundingSourceCode">
      <xsd:simpleType>
        <xsd:restriction base="dms:Lookup"/>
      </xsd:simpleType>
    </xsd:element>
    <xsd:element name="ATS_x0020_Project_x0020_ID" ma:index="9" ma:displayName="ATS Project ID" ma:internalName="ATS_x0020_Project_x0020_ID">
      <xsd:simpleType>
        <xsd:restriction base="dms:Text">
          <xsd:maxLength value="50"/>
        </xsd:restriction>
      </xsd:simpleType>
    </xsd:element>
    <xsd:element name="Current_x0020_Status" ma:index="10" ma:displayName="Current Status" ma:format="Dropdown" ma:internalName="Current_x0020_Status">
      <xsd:simpleType>
        <xsd:restriction base="dms:Choice">
          <xsd:enumeration value="Approved"/>
          <xsd:enumeration value="Draft Under Development"/>
          <xsd:enumeration value="Final"/>
          <xsd:enumeration value="Final (PDF)"/>
          <xsd:enumeration value="Funding Agency Approved"/>
          <xsd:enumeration value="Funding Agency Review"/>
          <xsd:enumeration value="Review - Peer"/>
          <xsd:enumeration value="Review - Routed"/>
          <xsd:enumeration value="Working Document"/>
        </xsd:restriction>
      </xsd:simpleType>
    </xsd:element>
    <xsd:element name="Document_x0020_Purpose" ma:index="11" nillable="true" ma:displayName="Document Purpose" ma:internalName="Document_x0020_Purpose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dvocacy/Testimony"/>
                    <xsd:enumeration value="Agenda"/>
                    <xsd:enumeration value="Biographical (Resumes/Bios)"/>
                    <xsd:enumeration value="Consulting Report"/>
                    <xsd:enumeration value="Contract Document-Other"/>
                    <xsd:enumeration value="Contract Proposal"/>
                    <xsd:enumeration value="Contract Proposal-Attachment"/>
                    <xsd:enumeration value="Development-Standards/Best Practices/Model/Policy"/>
                    <xsd:enumeration value="Development-Tool/Resource/Template"/>
                    <xsd:enumeration value="Grant Document-Other"/>
                    <xsd:enumeration value="Grant Proposal"/>
                    <xsd:enumeration value="Grant Proposal-Attachment"/>
                    <xsd:enumeration value="Graphic"/>
                    <xsd:enumeration value="How To/Instructional Guide"/>
                    <xsd:enumeration value="Internal Communications"/>
                    <xsd:enumeration value="Legislation"/>
                    <xsd:enumeration value="Letter"/>
                    <xsd:enumeration value="Marketing/Education"/>
                    <xsd:enumeration value="Memorandum"/>
                    <xsd:enumeration value="News Release/Article"/>
                    <xsd:enumeration value="Podcast"/>
                    <xsd:enumeration value="Policy Brief"/>
                    <xsd:enumeration value="Presentation- Meeting/ Conference"/>
                    <xsd:enumeration value="Presentation -Training"/>
                    <xsd:enumeration value="Project Report"/>
                    <xsd:enumeration value="Recommendations"/>
                    <xsd:enumeration value="Research"/>
                    <xsd:enumeration value="Survey"/>
                    <xsd:enumeration value="Technical Brief"/>
                    <xsd:enumeration value="Training Curriculum"/>
                  </xsd:restriction>
                </xsd:simpleType>
              </xsd:element>
            </xsd:sequence>
          </xsd:extension>
        </xsd:complexContent>
      </xsd:complexType>
    </xsd:element>
    <xsd:element name="External_x0020_Document" ma:index="13" nillable="true" ma:displayName="External Document" ma:default="0" ma:description="Check if document was created outside of SEARCH" ma:internalName="External_x0020_Document">
      <xsd:simpleType>
        <xsd:restriction base="dms:Boolean"/>
      </xsd:simpleType>
    </xsd:element>
    <xsd:element name="Route_x0020_To" ma:index="15" nillable="true" ma:displayName="Route To" ma:list="UserInfo" ma:SharePointGroup="0" ma:internalName="Route_x0020_T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axOccurs="1" ma:index="12" ma:displayName="Keywords">
          <xsd:simpleType xmlns:xs="http://www.w3.org/2001/XMLSchema">
            <xsd:restriction base="xsd:string">
              <xsd:minLength value="1"/>
            </xsd:restriction>
          </xsd:simpleType>
        </xsd:element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ATS_x0020_Project_x0020_ID xmlns="ef5a8d25-ade4-4894-b586-bac44eebb87b">889</ATS_x0020_Project_x0020_ID>
    <Current_x0020_Status xmlns="ef5a8d25-ade4-4894-b586-bac44eebb87b">Working Document</Current_x0020_Status>
    <Funding_x0020_Source_x0020_Code xmlns="ef5a8d25-ade4-4894-b586-bac44eebb87b">18</Funding_x0020_Source_x0020_Code>
    <External_x0020_Document xmlns="ef5a8d25-ade4-4894-b586-bac44eebb87b">false</External_x0020_Document>
    <Route_x0020_To xmlns="ef5a8d25-ade4-4894-b586-bac44eebb87b">
      <UserInfo>
        <DisplayName>James Douglas</DisplayName>
        <AccountId>17</AccountId>
        <AccountType/>
      </UserInfo>
    </Route_x0020_To>
    <Document_x0020_Purpose xmlns="ef5a8d25-ade4-4894-b586-bac44eebb87b">
      <Value>Development-Standards/Best Practices/Model/Policy</Value>
    </Document_x0020_Purpos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941D6B-3ECF-48CD-841D-362A865D5E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5a8d25-ade4-4894-b586-bac44eebb8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397B14-D009-4D53-B7F9-8EFC8A810B97}">
  <ds:schemaRefs>
    <ds:schemaRef ds:uri="http://schemas.microsoft.com/office/2006/metadata/properties"/>
    <ds:schemaRef ds:uri="ef5a8d25-ade4-4894-b586-bac44eebb87b"/>
  </ds:schemaRefs>
</ds:datastoreItem>
</file>

<file path=customXml/itemProps3.xml><?xml version="1.0" encoding="utf-8"?>
<ds:datastoreItem xmlns:ds="http://schemas.openxmlformats.org/officeDocument/2006/customXml" ds:itemID="{F4FA4625-9218-44B7-AC0A-616C12191F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F6F68E-8DDB-40C5-BAD1-8F5BC772D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9</Pages>
  <Words>818</Words>
  <Characters>4630</Characters>
  <Application>Microsoft Office Word</Application>
  <DocSecurity>0</DocSecurity>
  <Lines>165</Lines>
  <Paragraphs>165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Service Process Modeling Profile</vt:lpstr>
    </vt:vector>
  </TitlesOfParts>
  <Company>SEARCH Group, Inc.</Company>
  <LinksUpToDate>false</LinksUpToDate>
  <CharactersWithSpaces>5283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Service Process Modeling Profile</dc:title>
  <dc:creator>jdouglas</dc:creator>
  <cp:keywords>Service,Process Modeling,Profile,BPMN</cp:keywords>
  <cp:lastModifiedBy>Jean Jackson</cp:lastModifiedBy>
  <cp:revision>5</cp:revision>
  <cp:lastPrinted>2014-08-20T12:45:00Z</cp:lastPrinted>
  <dcterms:created xsi:type="dcterms:W3CDTF">2014-08-18T17:05:00Z</dcterms:created>
  <dcterms:modified xsi:type="dcterms:W3CDTF">2014-08-20T19:03:00Z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0x01010086C757EFC63CB7438E4FDF6BDA8CEEFD</vt:lpwstr>
  </property>
  <property fmtid="{D5CDD505-2E9C-101B-9397-08002B2CF9AE}" pid="3" name="Order">
    <vt:r8>162400</vt:r8>
  </property>
</Properties>
</file>